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735" w:rsidRPr="00763965" w:rsidRDefault="00690735" w:rsidP="00690735">
      <w:pPr>
        <w:spacing w:after="0" w:line="240" w:lineRule="auto"/>
        <w:jc w:val="center"/>
        <w:rPr>
          <w:rFonts w:cstheme="minorHAnsi"/>
          <w:b/>
          <w:sz w:val="24"/>
          <w:szCs w:val="24"/>
        </w:rPr>
      </w:pPr>
      <w:bookmarkStart w:id="0" w:name="_GoBack"/>
      <w:r w:rsidRPr="00763965">
        <w:rPr>
          <w:b/>
          <w:sz w:val="24"/>
          <w:szCs w:val="24"/>
        </w:rPr>
        <w:t>Complaint</w:t>
      </w:r>
      <w:r w:rsidRPr="00763965">
        <w:rPr>
          <w:rFonts w:cstheme="minorHAnsi"/>
        </w:rPr>
        <w:t xml:space="preserve"> </w:t>
      </w:r>
      <w:r w:rsidRPr="00763965">
        <w:rPr>
          <w:rFonts w:cstheme="minorHAnsi"/>
          <w:b/>
          <w:sz w:val="24"/>
          <w:szCs w:val="24"/>
        </w:rPr>
        <w:t>Letter to the Cabinet Secretary, Ministry of Petroleum and Mining</w:t>
      </w:r>
    </w:p>
    <w:bookmarkEnd w:id="0"/>
    <w:p w:rsidR="00690735" w:rsidRDefault="00690735" w:rsidP="00690735">
      <w:pPr>
        <w:spacing w:after="0" w:line="240" w:lineRule="auto"/>
        <w:jc w:val="center"/>
        <w:rPr>
          <w:rFonts w:cstheme="minorHAnsi"/>
          <w:b/>
          <w:i/>
          <w:sz w:val="24"/>
          <w:szCs w:val="24"/>
        </w:rPr>
      </w:pPr>
    </w:p>
    <w:p w:rsidR="00690735" w:rsidRDefault="00690735" w:rsidP="00690735">
      <w:pPr>
        <w:spacing w:after="0" w:line="240" w:lineRule="auto"/>
        <w:jc w:val="both"/>
        <w:rPr>
          <w:rFonts w:cstheme="minorHAnsi"/>
          <w:sz w:val="24"/>
          <w:szCs w:val="24"/>
        </w:rPr>
      </w:pPr>
      <w:proofErr w:type="spellStart"/>
      <w:r>
        <w:rPr>
          <w:rFonts w:cstheme="minorHAnsi"/>
          <w:sz w:val="24"/>
          <w:szCs w:val="24"/>
        </w:rPr>
        <w:t>Honourable</w:t>
      </w:r>
      <w:proofErr w:type="spellEnd"/>
      <w:r>
        <w:rPr>
          <w:rFonts w:cstheme="minorHAnsi"/>
          <w:sz w:val="24"/>
          <w:szCs w:val="24"/>
        </w:rPr>
        <w:t xml:space="preserve"> John </w:t>
      </w:r>
      <w:proofErr w:type="spellStart"/>
      <w:r>
        <w:rPr>
          <w:rFonts w:cstheme="minorHAnsi"/>
          <w:sz w:val="24"/>
          <w:szCs w:val="24"/>
        </w:rPr>
        <w:t>Munyes</w:t>
      </w:r>
      <w:proofErr w:type="spellEnd"/>
    </w:p>
    <w:p w:rsidR="00690735" w:rsidRDefault="00690735" w:rsidP="00690735">
      <w:pPr>
        <w:spacing w:after="0" w:line="240" w:lineRule="auto"/>
        <w:jc w:val="both"/>
        <w:rPr>
          <w:rFonts w:cstheme="minorHAnsi"/>
          <w:sz w:val="24"/>
          <w:szCs w:val="24"/>
        </w:rPr>
      </w:pPr>
      <w:r>
        <w:rPr>
          <w:rFonts w:cstheme="minorHAnsi"/>
          <w:sz w:val="24"/>
          <w:szCs w:val="24"/>
        </w:rPr>
        <w:t xml:space="preserve">Cabinet Secretary, </w:t>
      </w:r>
    </w:p>
    <w:p w:rsidR="00690735" w:rsidRDefault="00690735" w:rsidP="00690735">
      <w:pPr>
        <w:spacing w:after="0" w:line="240" w:lineRule="auto"/>
        <w:jc w:val="both"/>
        <w:rPr>
          <w:rFonts w:cstheme="minorHAnsi"/>
          <w:sz w:val="24"/>
          <w:szCs w:val="24"/>
        </w:rPr>
      </w:pPr>
      <w:r>
        <w:rPr>
          <w:rFonts w:cstheme="minorHAnsi"/>
          <w:sz w:val="24"/>
          <w:szCs w:val="24"/>
        </w:rPr>
        <w:t>Ministry of Petroleum and Mining</w:t>
      </w:r>
    </w:p>
    <w:p w:rsidR="00690735" w:rsidRDefault="00690735" w:rsidP="00690735">
      <w:pPr>
        <w:spacing w:after="0" w:line="240" w:lineRule="auto"/>
        <w:jc w:val="both"/>
        <w:rPr>
          <w:rFonts w:cstheme="minorHAnsi"/>
          <w:sz w:val="24"/>
          <w:szCs w:val="24"/>
        </w:rPr>
      </w:pPr>
      <w:r>
        <w:rPr>
          <w:rFonts w:cstheme="minorHAnsi"/>
          <w:sz w:val="24"/>
          <w:szCs w:val="24"/>
        </w:rPr>
        <w:t>Republic of Kenya</w:t>
      </w:r>
    </w:p>
    <w:p w:rsidR="00690735" w:rsidRDefault="00690735" w:rsidP="00690735">
      <w:pPr>
        <w:spacing w:after="0"/>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12</w:t>
      </w:r>
      <w:r>
        <w:rPr>
          <w:rFonts w:cstheme="minorHAnsi"/>
          <w:sz w:val="24"/>
          <w:szCs w:val="24"/>
          <w:vertAlign w:val="superscript"/>
        </w:rPr>
        <w:t>th</w:t>
      </w:r>
      <w:r>
        <w:rPr>
          <w:rFonts w:cstheme="minorHAnsi"/>
          <w:sz w:val="24"/>
          <w:szCs w:val="24"/>
        </w:rPr>
        <w:t xml:space="preserve"> May 2018</w:t>
      </w:r>
    </w:p>
    <w:p w:rsidR="00690735" w:rsidRDefault="00690735" w:rsidP="00690735">
      <w:pPr>
        <w:pStyle w:val="Normal1"/>
        <w:spacing w:line="240" w:lineRule="auto"/>
        <w:ind w:left="720" w:hanging="720"/>
        <w:jc w:val="both"/>
        <w:rPr>
          <w:rFonts w:asciiTheme="minorHAnsi" w:eastAsia="Calibri" w:hAnsiTheme="minorHAnsi" w:cstheme="minorHAnsi"/>
          <w:b/>
          <w:sz w:val="24"/>
          <w:szCs w:val="24"/>
        </w:rPr>
      </w:pPr>
    </w:p>
    <w:p w:rsidR="00690735" w:rsidRDefault="00690735" w:rsidP="00690735">
      <w:pPr>
        <w:pStyle w:val="Normal1"/>
        <w:spacing w:line="240" w:lineRule="auto"/>
        <w:ind w:left="720" w:hanging="720"/>
        <w:jc w:val="both"/>
        <w:rPr>
          <w:rFonts w:asciiTheme="minorHAnsi" w:eastAsia="Calibri" w:hAnsiTheme="minorHAnsi" w:cstheme="minorHAnsi"/>
          <w:b/>
          <w:sz w:val="24"/>
          <w:szCs w:val="24"/>
        </w:rPr>
      </w:pPr>
      <w:r>
        <w:rPr>
          <w:rFonts w:asciiTheme="minorHAnsi" w:eastAsia="Calibri" w:hAnsiTheme="minorHAnsi" w:cstheme="minorHAnsi"/>
          <w:b/>
          <w:sz w:val="24"/>
          <w:szCs w:val="24"/>
        </w:rPr>
        <w:t xml:space="preserve">RE:  </w:t>
      </w:r>
      <w:r>
        <w:rPr>
          <w:rFonts w:asciiTheme="minorHAnsi" w:eastAsia="Calibri" w:hAnsiTheme="minorHAnsi" w:cstheme="minorHAnsi"/>
          <w:b/>
          <w:sz w:val="24"/>
          <w:szCs w:val="24"/>
        </w:rPr>
        <w:tab/>
        <w:t xml:space="preserve">A Letter from Constituents of </w:t>
      </w:r>
      <w:proofErr w:type="spellStart"/>
      <w:r>
        <w:rPr>
          <w:rFonts w:asciiTheme="minorHAnsi" w:eastAsia="Calibri" w:hAnsiTheme="minorHAnsi" w:cstheme="minorHAnsi"/>
          <w:b/>
          <w:sz w:val="24"/>
          <w:szCs w:val="24"/>
        </w:rPr>
        <w:t>Msambweni</w:t>
      </w:r>
      <w:proofErr w:type="spellEnd"/>
      <w:r>
        <w:rPr>
          <w:rFonts w:asciiTheme="minorHAnsi" w:eastAsia="Calibri" w:hAnsiTheme="minorHAnsi" w:cstheme="minorHAnsi"/>
          <w:b/>
          <w:sz w:val="24"/>
          <w:szCs w:val="24"/>
        </w:rPr>
        <w:t xml:space="preserve"> Sub-County, </w:t>
      </w:r>
      <w:proofErr w:type="spellStart"/>
      <w:r>
        <w:rPr>
          <w:rFonts w:asciiTheme="minorHAnsi" w:eastAsia="Calibri" w:hAnsiTheme="minorHAnsi" w:cstheme="minorHAnsi"/>
          <w:b/>
          <w:sz w:val="24"/>
          <w:szCs w:val="24"/>
        </w:rPr>
        <w:t>Kwale</w:t>
      </w:r>
      <w:proofErr w:type="spellEnd"/>
      <w:r>
        <w:rPr>
          <w:rFonts w:asciiTheme="minorHAnsi" w:eastAsia="Calibri" w:hAnsiTheme="minorHAnsi" w:cstheme="minorHAnsi"/>
          <w:b/>
          <w:sz w:val="24"/>
          <w:szCs w:val="24"/>
        </w:rPr>
        <w:t xml:space="preserve"> County, Raising Concerns about the Mining Operations of Base Titanium Ltd. (Kenya) / Base Resources Ltd. (Australia) in Our Ancestral Lands</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We, the residents of several villages</w:t>
      </w:r>
      <w:r>
        <w:rPr>
          <w:rStyle w:val="FootnoteReference"/>
          <w:rFonts w:cstheme="minorHAnsi"/>
          <w:sz w:val="24"/>
          <w:szCs w:val="24"/>
        </w:rPr>
        <w:footnoteReference w:id="1"/>
      </w:r>
      <w:r>
        <w:rPr>
          <w:rFonts w:cstheme="minorHAnsi"/>
          <w:sz w:val="24"/>
          <w:szCs w:val="24"/>
        </w:rPr>
        <w:t xml:space="preserve"> in </w:t>
      </w:r>
      <w:proofErr w:type="spellStart"/>
      <w:r>
        <w:rPr>
          <w:rFonts w:cstheme="minorHAnsi"/>
          <w:sz w:val="24"/>
          <w:szCs w:val="24"/>
        </w:rPr>
        <w:t>Msambweni</w:t>
      </w:r>
      <w:proofErr w:type="spellEnd"/>
      <w:r>
        <w:rPr>
          <w:rFonts w:cstheme="minorHAnsi"/>
          <w:sz w:val="24"/>
          <w:szCs w:val="24"/>
        </w:rPr>
        <w:t xml:space="preserve"> Sub-county, </w:t>
      </w:r>
      <w:proofErr w:type="spellStart"/>
      <w:r>
        <w:rPr>
          <w:rFonts w:cstheme="minorHAnsi"/>
          <w:sz w:val="24"/>
          <w:szCs w:val="24"/>
        </w:rPr>
        <w:t>Kwale</w:t>
      </w:r>
      <w:proofErr w:type="spellEnd"/>
      <w:r>
        <w:rPr>
          <w:rFonts w:cstheme="minorHAnsi"/>
          <w:sz w:val="24"/>
          <w:szCs w:val="24"/>
        </w:rPr>
        <w:t xml:space="preserve"> County, urgently upon you as the Cabinet Secretary, Ministry of Petroleum and Mining, to address our concerns regarding the mining-related activities of Base Titanium Ltd. (a wholly owned subsidiary of Base Resources Ltd., Australia) in our ancestral lands. </w:t>
      </w:r>
    </w:p>
    <w:p w:rsidR="00690735" w:rsidRDefault="00690735" w:rsidP="00690735">
      <w:pPr>
        <w:spacing w:after="0" w:line="240" w:lineRule="auto"/>
        <w:jc w:val="both"/>
        <w:rPr>
          <w:rFonts w:cstheme="minorHAnsi"/>
          <w:b/>
          <w:sz w:val="24"/>
          <w:szCs w:val="24"/>
        </w:rPr>
      </w:pPr>
    </w:p>
    <w:p w:rsidR="00690735" w:rsidRDefault="00690735" w:rsidP="00690735">
      <w:pPr>
        <w:spacing w:after="0" w:line="240" w:lineRule="auto"/>
        <w:jc w:val="both"/>
        <w:rPr>
          <w:rFonts w:cstheme="minorHAnsi"/>
          <w:sz w:val="24"/>
          <w:szCs w:val="24"/>
        </w:rPr>
      </w:pPr>
      <w:r>
        <w:rPr>
          <w:rFonts w:cstheme="minorHAnsi"/>
          <w:b/>
          <w:sz w:val="24"/>
          <w:szCs w:val="24"/>
        </w:rPr>
        <w:t>Questionable Licensing Process</w:t>
      </w:r>
      <w:r>
        <w:rPr>
          <w:rFonts w:cstheme="minorHAnsi"/>
          <w:sz w:val="24"/>
          <w:szCs w:val="24"/>
        </w:rPr>
        <w:t xml:space="preserv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To begin with, we would like to bring it to your attention that Base Titanium Ltd. was issued with a “Special Prospecting </w:t>
      </w:r>
      <w:proofErr w:type="spellStart"/>
      <w:r>
        <w:rPr>
          <w:rFonts w:cstheme="minorHAnsi"/>
          <w:sz w:val="24"/>
          <w:szCs w:val="24"/>
        </w:rPr>
        <w:t>Licence</w:t>
      </w:r>
      <w:proofErr w:type="spellEnd"/>
      <w:r>
        <w:rPr>
          <w:rFonts w:cstheme="minorHAnsi"/>
          <w:sz w:val="24"/>
          <w:szCs w:val="24"/>
        </w:rPr>
        <w:t>” (No. 173) on 26</w:t>
      </w:r>
      <w:r>
        <w:rPr>
          <w:rFonts w:cstheme="minorHAnsi"/>
          <w:sz w:val="24"/>
          <w:szCs w:val="24"/>
          <w:vertAlign w:val="superscript"/>
        </w:rPr>
        <w:t>th</w:t>
      </w:r>
      <w:r>
        <w:rPr>
          <w:rFonts w:cstheme="minorHAnsi"/>
          <w:sz w:val="24"/>
          <w:szCs w:val="24"/>
        </w:rPr>
        <w:t xml:space="preserve"> May 2016 under the </w:t>
      </w:r>
      <w:r>
        <w:rPr>
          <w:rFonts w:cstheme="minorHAnsi"/>
          <w:i/>
          <w:sz w:val="24"/>
          <w:szCs w:val="24"/>
        </w:rPr>
        <w:t>old</w:t>
      </w:r>
      <w:r>
        <w:rPr>
          <w:rFonts w:cstheme="minorHAnsi"/>
          <w:sz w:val="24"/>
          <w:szCs w:val="24"/>
        </w:rPr>
        <w:t xml:space="preserve"> Mining Act – </w:t>
      </w:r>
      <w:r>
        <w:rPr>
          <w:rFonts w:cstheme="minorHAnsi"/>
          <w:i/>
          <w:sz w:val="24"/>
          <w:szCs w:val="24"/>
        </w:rPr>
        <w:t xml:space="preserve">six days after the new Mining Act had been </w:t>
      </w:r>
      <w:proofErr w:type="spellStart"/>
      <w:r>
        <w:rPr>
          <w:rFonts w:cstheme="minorHAnsi"/>
          <w:i/>
          <w:sz w:val="24"/>
          <w:szCs w:val="24"/>
        </w:rPr>
        <w:t>gazetted</w:t>
      </w:r>
      <w:proofErr w:type="spellEnd"/>
      <w:r>
        <w:rPr>
          <w:rFonts w:cstheme="minorHAnsi"/>
          <w:i/>
          <w:sz w:val="24"/>
          <w:szCs w:val="24"/>
        </w:rPr>
        <w:t xml:space="preserve">, and a day before the new Act came into effect </w:t>
      </w:r>
      <w:r>
        <w:rPr>
          <w:rFonts w:cstheme="minorHAnsi"/>
          <w:sz w:val="24"/>
          <w:szCs w:val="24"/>
        </w:rPr>
        <w:t xml:space="preserve">(Annex 1 – See pages 8 and 9). The timing in this licensing process is therefore questionable.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Furthermore, the </w:t>
      </w:r>
      <w:r>
        <w:rPr>
          <w:rFonts w:cstheme="minorHAnsi"/>
          <w:i/>
          <w:sz w:val="24"/>
          <w:szCs w:val="24"/>
        </w:rPr>
        <w:t xml:space="preserve">prospecting activities that are presently being conducted by Base Titanium Ltd. in </w:t>
      </w:r>
      <w:proofErr w:type="spellStart"/>
      <w:r>
        <w:rPr>
          <w:rFonts w:cstheme="minorHAnsi"/>
          <w:i/>
          <w:sz w:val="24"/>
          <w:szCs w:val="24"/>
        </w:rPr>
        <w:t>Kwale</w:t>
      </w:r>
      <w:proofErr w:type="spellEnd"/>
      <w:r>
        <w:rPr>
          <w:rFonts w:cstheme="minorHAnsi"/>
          <w:i/>
          <w:sz w:val="24"/>
          <w:szCs w:val="24"/>
        </w:rPr>
        <w:t xml:space="preserve"> are contrary to the provisions of Section 36(2) of the new Mining Act (2016), </w:t>
      </w:r>
      <w:r>
        <w:rPr>
          <w:rFonts w:cstheme="minorHAnsi"/>
          <w:sz w:val="24"/>
          <w:szCs w:val="24"/>
        </w:rPr>
        <w:t>which requires any applicant seeking a mineral right</w:t>
      </w:r>
      <w:r>
        <w:rPr>
          <w:rStyle w:val="FootnoteReference"/>
          <w:rFonts w:cstheme="minorHAnsi"/>
          <w:sz w:val="24"/>
          <w:szCs w:val="24"/>
        </w:rPr>
        <w:footnoteReference w:id="2"/>
      </w:r>
      <w:r>
        <w:rPr>
          <w:rFonts w:cstheme="minorHAnsi"/>
          <w:sz w:val="24"/>
          <w:szCs w:val="24"/>
        </w:rPr>
        <w:t xml:space="preserve"> </w:t>
      </w:r>
      <w:r>
        <w:rPr>
          <w:rFonts w:cstheme="minorHAnsi"/>
          <w:i/>
          <w:sz w:val="24"/>
          <w:szCs w:val="24"/>
        </w:rPr>
        <w:t>to seek</w:t>
      </w:r>
      <w:r>
        <w:rPr>
          <w:rFonts w:cstheme="minorHAnsi"/>
          <w:sz w:val="24"/>
          <w:szCs w:val="24"/>
        </w:rPr>
        <w:t xml:space="preserve"> – </w:t>
      </w:r>
    </w:p>
    <w:p w:rsidR="00690735" w:rsidRDefault="00690735" w:rsidP="00690735">
      <w:pPr>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(h) </w:t>
      </w:r>
      <w:r>
        <w:rPr>
          <w:rFonts w:cstheme="minorHAnsi"/>
          <w:i/>
          <w:sz w:val="24"/>
          <w:szCs w:val="24"/>
        </w:rPr>
        <w:t>the approval of</w:t>
      </w:r>
      <w:r>
        <w:rPr>
          <w:rFonts w:cstheme="minorHAnsi"/>
          <w:sz w:val="24"/>
          <w:szCs w:val="24"/>
        </w:rPr>
        <w:t xml:space="preserve"> any other person who in the opinion of the Cabinet Secretary would otherwise be affected by the grant of a mineral right, who may include the owner of private land or </w:t>
      </w:r>
      <w:r>
        <w:rPr>
          <w:rFonts w:cstheme="minorHAnsi"/>
          <w:i/>
          <w:sz w:val="24"/>
          <w:szCs w:val="24"/>
        </w:rPr>
        <w:t>the community in occupation of the land.</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Pursuant to the above, according to the guidelines for “Stakeholder Engagement” on the company’s website, “prior to commencing any further exploratory drilling, a systematic multi-stakeholder engagement </w:t>
      </w:r>
      <w:proofErr w:type="spellStart"/>
      <w:r>
        <w:rPr>
          <w:rFonts w:cstheme="minorHAnsi"/>
          <w:sz w:val="24"/>
          <w:szCs w:val="24"/>
        </w:rPr>
        <w:t>programme</w:t>
      </w:r>
      <w:proofErr w:type="spellEnd"/>
      <w:r>
        <w:rPr>
          <w:rFonts w:cstheme="minorHAnsi"/>
          <w:sz w:val="24"/>
          <w:szCs w:val="24"/>
        </w:rPr>
        <w:t xml:space="preserve"> ha(s) been developed and implemented in order to,” among other things, “fully inform the </w:t>
      </w:r>
      <w:proofErr w:type="spellStart"/>
      <w:r>
        <w:rPr>
          <w:rFonts w:cstheme="minorHAnsi"/>
          <w:sz w:val="24"/>
          <w:szCs w:val="24"/>
        </w:rPr>
        <w:t>Kwale</w:t>
      </w:r>
      <w:proofErr w:type="spellEnd"/>
      <w:r>
        <w:rPr>
          <w:rFonts w:cstheme="minorHAnsi"/>
          <w:sz w:val="24"/>
          <w:szCs w:val="24"/>
        </w:rPr>
        <w:t xml:space="preserve"> County Government, the local administration, the political leadership and affected communities” and “provide full details of the planned </w:t>
      </w:r>
      <w:proofErr w:type="spellStart"/>
      <w:r>
        <w:rPr>
          <w:rFonts w:cstheme="minorHAnsi"/>
          <w:sz w:val="24"/>
          <w:szCs w:val="24"/>
        </w:rPr>
        <w:t>programme</w:t>
      </w:r>
      <w:proofErr w:type="spellEnd"/>
      <w:r>
        <w:rPr>
          <w:rFonts w:cstheme="minorHAnsi"/>
          <w:sz w:val="24"/>
          <w:szCs w:val="24"/>
        </w:rPr>
        <w:t xml:space="preserve"> in order to eliminate misunderstandings and misconceptions around exploration and to seek support and informed consent…”</w:t>
      </w:r>
      <w:r>
        <w:rPr>
          <w:rStyle w:val="FootnoteReference"/>
          <w:rFonts w:cstheme="minorHAnsi"/>
          <w:sz w:val="24"/>
          <w:szCs w:val="24"/>
        </w:rPr>
        <w:footnoteReference w:id="3"/>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lastRenderedPageBreak/>
        <w:t xml:space="preserve">Base Titanium Ltd. has further stated that the engagement </w:t>
      </w:r>
      <w:proofErr w:type="spellStart"/>
      <w:r>
        <w:rPr>
          <w:rFonts w:cstheme="minorHAnsi"/>
          <w:sz w:val="24"/>
          <w:szCs w:val="24"/>
        </w:rPr>
        <w:t>programme</w:t>
      </w:r>
      <w:proofErr w:type="spellEnd"/>
      <w:r>
        <w:rPr>
          <w:rFonts w:cstheme="minorHAnsi"/>
          <w:sz w:val="24"/>
          <w:szCs w:val="24"/>
        </w:rPr>
        <w:t xml:space="preserve"> ran from June to October 2016 and covered all areas that were intended to be impacted by drilling activities.</w:t>
      </w:r>
      <w:r>
        <w:rPr>
          <w:rStyle w:val="FootnoteReference"/>
          <w:rFonts w:cstheme="minorHAnsi"/>
          <w:sz w:val="24"/>
          <w:szCs w:val="24"/>
        </w:rPr>
        <w:footnoteReference w:id="4"/>
      </w:r>
      <w:r>
        <w:rPr>
          <w:rFonts w:cstheme="minorHAnsi"/>
          <w:sz w:val="24"/>
          <w:szCs w:val="24"/>
        </w:rPr>
        <w:t xml:space="preserv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However, this was not the case. The reality is that residents of </w:t>
      </w:r>
      <w:proofErr w:type="spellStart"/>
      <w:r>
        <w:rPr>
          <w:rFonts w:cstheme="minorHAnsi"/>
          <w:sz w:val="24"/>
          <w:szCs w:val="24"/>
        </w:rPr>
        <w:t>Msambweni</w:t>
      </w:r>
      <w:proofErr w:type="spellEnd"/>
      <w:r>
        <w:rPr>
          <w:rFonts w:cstheme="minorHAnsi"/>
          <w:sz w:val="24"/>
          <w:szCs w:val="24"/>
        </w:rPr>
        <w:t xml:space="preserve"> Sub-County resisted the company’s back-handed tactics to conduct prospecting / exploratory drilling in the area, under the protection of armed state personnel.</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b/>
          <w:sz w:val="24"/>
          <w:szCs w:val="24"/>
        </w:rPr>
      </w:pPr>
      <w:r>
        <w:rPr>
          <w:rFonts w:cstheme="minorHAnsi"/>
          <w:b/>
          <w:sz w:val="24"/>
          <w:szCs w:val="24"/>
        </w:rPr>
        <w:t>The Issue</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Our primary reason for opposing this project is that we do not want to lose our ancestral lands, and especially not if this project will only serve to enrich a few individuals at the expense of our community, our environment, and the larger Kenyan populace.</w:t>
      </w:r>
      <w:r>
        <w:rPr>
          <w:rStyle w:val="FootnoteReference"/>
          <w:rFonts w:cstheme="minorHAnsi"/>
          <w:sz w:val="24"/>
          <w:szCs w:val="24"/>
        </w:rPr>
        <w:footnoteReference w:id="5"/>
      </w:r>
      <w:r>
        <w:rPr>
          <w:rFonts w:cstheme="minorHAnsi"/>
          <w:sz w:val="24"/>
          <w:szCs w:val="24"/>
        </w:rPr>
        <w:t xml:space="preserve"> We are also concerned about the serious health impacts associated with titanium mining, particularly due to the presence of radioactive thorium and uranium, as well as adverse environmental impacts (including the drying up of crucial water sources and the loss of arable land).</w:t>
      </w:r>
      <w:r>
        <w:rPr>
          <w:rStyle w:val="FootnoteReference"/>
          <w:rFonts w:cstheme="minorHAnsi"/>
          <w:sz w:val="24"/>
          <w:szCs w:val="24"/>
        </w:rPr>
        <w:footnoteReference w:id="6"/>
      </w:r>
      <w:r>
        <w:rPr>
          <w:rFonts w:cstheme="minorHAnsi"/>
          <w:sz w:val="24"/>
          <w:szCs w:val="24"/>
        </w:rPr>
        <w:t xml:space="preserve"> Finally, we contend that Base Titanium Ltd. has brought much more harm than good to the area, and we want the company to wind up its present mining operations and leave.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We also contend that if the license that was issued to Base Titanium Ltd. is the same one that was issued to </w:t>
      </w:r>
      <w:proofErr w:type="spellStart"/>
      <w:r>
        <w:rPr>
          <w:rFonts w:cstheme="minorHAnsi"/>
          <w:sz w:val="24"/>
          <w:szCs w:val="24"/>
        </w:rPr>
        <w:t>Tiomin</w:t>
      </w:r>
      <w:proofErr w:type="spellEnd"/>
      <w:r>
        <w:rPr>
          <w:rFonts w:cstheme="minorHAnsi"/>
          <w:sz w:val="24"/>
          <w:szCs w:val="24"/>
        </w:rPr>
        <w:t xml:space="preserve"> Resources Inc. in 1997, then simply renewed over the years (Annex 1 – See pages 8 and 9), the same may apply to Base Titanium’s Environmental Impact Assessment (EIA) report. What makes this all the more likely is that despite official requests to Base Titanium Ltd. under the </w:t>
      </w:r>
      <w:r>
        <w:rPr>
          <w:rFonts w:cstheme="minorHAnsi"/>
          <w:i/>
          <w:sz w:val="24"/>
          <w:szCs w:val="24"/>
        </w:rPr>
        <w:t>Access to Information Act, 2016</w:t>
      </w:r>
      <w:r>
        <w:rPr>
          <w:rFonts w:cstheme="minorHAnsi"/>
          <w:sz w:val="24"/>
          <w:szCs w:val="24"/>
        </w:rPr>
        <w:t xml:space="preserve"> (Annex 2 – See page 10), the company has refused to provide us with copies of their EIA (Annex 3 – See page 13). </w:t>
      </w:r>
    </w:p>
    <w:p w:rsidR="00690735" w:rsidRDefault="00690735" w:rsidP="00690735">
      <w:pPr>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bCs/>
          <w:sz w:val="24"/>
          <w:szCs w:val="24"/>
        </w:rPr>
      </w:pPr>
      <w:r>
        <w:rPr>
          <w:rFonts w:cstheme="minorHAnsi"/>
          <w:bCs/>
          <w:sz w:val="24"/>
          <w:szCs w:val="24"/>
        </w:rPr>
        <w:t xml:space="preserve">Pursuant to the above, according to Section 78 of the </w:t>
      </w:r>
      <w:r>
        <w:rPr>
          <w:rFonts w:cstheme="minorHAnsi"/>
          <w:bCs/>
          <w:i/>
          <w:sz w:val="24"/>
          <w:szCs w:val="24"/>
        </w:rPr>
        <w:t>Mining Act, 2016</w:t>
      </w:r>
      <w:r>
        <w:rPr>
          <w:rFonts w:cstheme="minorHAnsi"/>
          <w:bCs/>
          <w:sz w:val="24"/>
          <w:szCs w:val="24"/>
        </w:rPr>
        <w:t>:</w:t>
      </w:r>
    </w:p>
    <w:p w:rsidR="00690735" w:rsidRDefault="00690735" w:rsidP="00690735">
      <w:pPr>
        <w:autoSpaceDE w:val="0"/>
        <w:autoSpaceDN w:val="0"/>
        <w:adjustRightInd w:val="0"/>
        <w:spacing w:after="0" w:line="240" w:lineRule="auto"/>
        <w:jc w:val="both"/>
        <w:rPr>
          <w:rFonts w:cstheme="minorHAnsi"/>
          <w:bCs/>
          <w:sz w:val="24"/>
          <w:szCs w:val="24"/>
        </w:rPr>
      </w:pP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prospecting </w:t>
      </w:r>
      <w:proofErr w:type="spellStart"/>
      <w:r>
        <w:rPr>
          <w:rFonts w:cstheme="minorHAnsi"/>
          <w:sz w:val="24"/>
          <w:szCs w:val="24"/>
        </w:rPr>
        <w:t>licence</w:t>
      </w:r>
      <w:proofErr w:type="spellEnd"/>
      <w:r>
        <w:rPr>
          <w:rFonts w:cstheme="minorHAnsi"/>
          <w:sz w:val="24"/>
          <w:szCs w:val="24"/>
        </w:rPr>
        <w:t xml:space="preserve"> issued in accordance with this Act shall include the following information in addition to the information referred to in Section 72 – </w:t>
      </w:r>
    </w:p>
    <w:p w:rsidR="00690735" w:rsidRDefault="00690735" w:rsidP="00690735">
      <w:pPr>
        <w:autoSpaceDE w:val="0"/>
        <w:autoSpaceDN w:val="0"/>
        <w:adjustRightInd w:val="0"/>
        <w:spacing w:after="0" w:line="240" w:lineRule="auto"/>
        <w:ind w:left="720"/>
        <w:rPr>
          <w:rFonts w:cstheme="minorHAnsi"/>
          <w:sz w:val="24"/>
          <w:szCs w:val="24"/>
        </w:rPr>
      </w:pPr>
    </w:p>
    <w:p w:rsidR="00690735" w:rsidRDefault="00690735" w:rsidP="00690735">
      <w:pPr>
        <w:autoSpaceDE w:val="0"/>
        <w:autoSpaceDN w:val="0"/>
        <w:adjustRightInd w:val="0"/>
        <w:spacing w:after="0" w:line="240" w:lineRule="auto"/>
        <w:ind w:left="1440"/>
        <w:jc w:val="both"/>
        <w:rPr>
          <w:rFonts w:cstheme="minorHAnsi"/>
          <w:sz w:val="24"/>
          <w:szCs w:val="24"/>
        </w:rPr>
      </w:pPr>
      <w:r>
        <w:rPr>
          <w:rFonts w:cstheme="minorHAnsi"/>
          <w:sz w:val="24"/>
          <w:szCs w:val="24"/>
        </w:rPr>
        <w:t xml:space="preserve">(d) </w:t>
      </w:r>
      <w:proofErr w:type="gramStart"/>
      <w:r>
        <w:rPr>
          <w:rFonts w:cstheme="minorHAnsi"/>
          <w:sz w:val="24"/>
          <w:szCs w:val="24"/>
        </w:rPr>
        <w:t>an</w:t>
      </w:r>
      <w:proofErr w:type="gramEnd"/>
      <w:r>
        <w:rPr>
          <w:rFonts w:cstheme="minorHAnsi"/>
          <w:sz w:val="24"/>
          <w:szCs w:val="24"/>
        </w:rPr>
        <w:t xml:space="preserve"> approved environmental impact assessment report, a social heritage impact assessment and environmental management plan, where required.</w:t>
      </w:r>
    </w:p>
    <w:p w:rsidR="00690735" w:rsidRDefault="00690735" w:rsidP="00690735">
      <w:pPr>
        <w:spacing w:after="0" w:line="240" w:lineRule="auto"/>
        <w:jc w:val="both"/>
        <w:rPr>
          <w:rFonts w:cstheme="minorHAnsi"/>
          <w:b/>
          <w:sz w:val="24"/>
          <w:szCs w:val="24"/>
        </w:rPr>
      </w:pPr>
    </w:p>
    <w:p w:rsidR="00690735" w:rsidRDefault="00690735" w:rsidP="00690735">
      <w:pPr>
        <w:spacing w:after="0" w:line="240" w:lineRule="auto"/>
        <w:jc w:val="both"/>
        <w:rPr>
          <w:rFonts w:cstheme="minorHAnsi"/>
          <w:sz w:val="24"/>
          <w:szCs w:val="24"/>
        </w:rPr>
      </w:pPr>
      <w:r>
        <w:rPr>
          <w:rFonts w:cstheme="minorHAnsi"/>
          <w:b/>
          <w:sz w:val="24"/>
          <w:szCs w:val="24"/>
        </w:rPr>
        <w:t>Official Misconduct</w:t>
      </w:r>
    </w:p>
    <w:p w:rsidR="00690735" w:rsidRDefault="00690735" w:rsidP="00690735">
      <w:pPr>
        <w:spacing w:after="0" w:line="240" w:lineRule="auto"/>
        <w:jc w:val="both"/>
        <w:rPr>
          <w:rFonts w:cstheme="minorHAnsi"/>
          <w:b/>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Furthermore, we would like to point out that the Commissioner of Mines and Geology who issued Base Titanium’s “Special Prospecting </w:t>
      </w:r>
      <w:proofErr w:type="spellStart"/>
      <w:r>
        <w:rPr>
          <w:rFonts w:cstheme="minorHAnsi"/>
          <w:sz w:val="24"/>
          <w:szCs w:val="24"/>
        </w:rPr>
        <w:t>Licence</w:t>
      </w:r>
      <w:proofErr w:type="spellEnd"/>
      <w:r>
        <w:rPr>
          <w:rFonts w:cstheme="minorHAnsi"/>
          <w:sz w:val="24"/>
          <w:szCs w:val="24"/>
        </w:rPr>
        <w:t>” (No. 173) has been adversely mentioned in connection to “regulatory lapses and poor monitoring systems…giving firms which export billions worth of minerals annually the leeway to determine what royalties to pay.”</w:t>
      </w:r>
      <w:r>
        <w:rPr>
          <w:rStyle w:val="FootnoteReference"/>
          <w:rFonts w:cstheme="minorHAnsi"/>
          <w:sz w:val="24"/>
          <w:szCs w:val="24"/>
        </w:rPr>
        <w:footnoteReference w:id="7"/>
      </w:r>
      <w:r>
        <w:rPr>
          <w:rFonts w:cstheme="minorHAnsi"/>
          <w:sz w:val="24"/>
          <w:szCs w:val="24"/>
        </w:rPr>
        <w:t xml:space="preserve"> For example, according to the Auditor General, the receipts submitted by Base Titanium Ltd. “are based on self-declared export quantities. There has been no evidence of subsequent </w:t>
      </w:r>
      <w:r>
        <w:rPr>
          <w:rFonts w:cstheme="minorHAnsi"/>
          <w:sz w:val="24"/>
          <w:szCs w:val="24"/>
        </w:rPr>
        <w:lastRenderedPageBreak/>
        <w:t>verification of the actual exports vis-à-vis declared quantities to validate their accuracy. It is, therefore, not possible to confirm the completeness and validity of royalties’ income as reported.”</w:t>
      </w:r>
      <w:r>
        <w:rPr>
          <w:rStyle w:val="FootnoteReference"/>
          <w:rFonts w:cstheme="minorHAnsi"/>
          <w:sz w:val="24"/>
          <w:szCs w:val="24"/>
        </w:rPr>
        <w:footnoteReference w:id="8"/>
      </w:r>
    </w:p>
    <w:p w:rsidR="00690735" w:rsidRDefault="00690735" w:rsidP="00690735">
      <w:pPr>
        <w:spacing w:after="0" w:line="240" w:lineRule="auto"/>
        <w:jc w:val="both"/>
        <w:rPr>
          <w:rFonts w:cstheme="minorHAnsi"/>
          <w:sz w:val="24"/>
          <w:szCs w:val="24"/>
        </w:rPr>
      </w:pPr>
      <w:r>
        <w:rPr>
          <w:rFonts w:cstheme="minorHAnsi"/>
          <w:sz w:val="24"/>
          <w:szCs w:val="24"/>
        </w:rPr>
        <w:t xml:space="preserve"> </w:t>
      </w:r>
    </w:p>
    <w:p w:rsidR="00690735" w:rsidRDefault="00690735" w:rsidP="00690735">
      <w:pPr>
        <w:spacing w:after="0" w:line="240" w:lineRule="auto"/>
        <w:jc w:val="both"/>
        <w:rPr>
          <w:rFonts w:cstheme="minorHAnsi"/>
          <w:sz w:val="24"/>
          <w:szCs w:val="24"/>
        </w:rPr>
      </w:pPr>
      <w:r>
        <w:rPr>
          <w:rFonts w:cstheme="minorHAnsi"/>
          <w:sz w:val="24"/>
          <w:szCs w:val="24"/>
        </w:rPr>
        <w:t xml:space="preserve">The Auditor General has also faulted the issuance of export permits to mining companies, stating that mining </w:t>
      </w:r>
      <w:proofErr w:type="spellStart"/>
      <w:r>
        <w:rPr>
          <w:rFonts w:cstheme="minorHAnsi"/>
          <w:sz w:val="24"/>
          <w:szCs w:val="24"/>
        </w:rPr>
        <w:t>licences</w:t>
      </w:r>
      <w:proofErr w:type="spellEnd"/>
      <w:r>
        <w:rPr>
          <w:rFonts w:cstheme="minorHAnsi"/>
          <w:sz w:val="24"/>
          <w:szCs w:val="24"/>
        </w:rPr>
        <w:t xml:space="preserve"> are “dished out irregularly” with negative consequences in terms of revenue collection: “information available indicates that export permits with a value of $18,619,645 (approximately </w:t>
      </w:r>
      <w:proofErr w:type="spellStart"/>
      <w:r>
        <w:rPr>
          <w:rFonts w:cstheme="minorHAnsi"/>
          <w:sz w:val="24"/>
          <w:szCs w:val="24"/>
        </w:rPr>
        <w:t>Ksh</w:t>
      </w:r>
      <w:proofErr w:type="spellEnd"/>
      <w:r>
        <w:rPr>
          <w:rFonts w:cstheme="minorHAnsi"/>
          <w:sz w:val="24"/>
          <w:szCs w:val="24"/>
        </w:rPr>
        <w:t xml:space="preserve"> 1.9 billion) were issued...by an </w:t>
      </w:r>
      <w:proofErr w:type="spellStart"/>
      <w:r>
        <w:rPr>
          <w:rFonts w:cstheme="minorHAnsi"/>
          <w:sz w:val="24"/>
          <w:szCs w:val="24"/>
        </w:rPr>
        <w:t>unauthorised</w:t>
      </w:r>
      <w:proofErr w:type="spellEnd"/>
      <w:r>
        <w:rPr>
          <w:rFonts w:cstheme="minorHAnsi"/>
          <w:sz w:val="24"/>
          <w:szCs w:val="24"/>
        </w:rPr>
        <w:t xml:space="preserve"> officer whose employment contract expired on April 19, 2014. This is contrary to the Mining Act…consequently the validity of the revenue collections on the export permits issued by the officer can be challenged.”</w:t>
      </w:r>
      <w:r>
        <w:rPr>
          <w:rStyle w:val="FootnoteReference"/>
          <w:rFonts w:cstheme="minorHAnsi"/>
          <w:sz w:val="24"/>
          <w:szCs w:val="24"/>
        </w:rPr>
        <w:footnoteReference w:id="9"/>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b/>
          <w:sz w:val="24"/>
          <w:szCs w:val="24"/>
        </w:rPr>
      </w:pPr>
      <w:r>
        <w:rPr>
          <w:rFonts w:cstheme="minorHAnsi"/>
          <w:b/>
          <w:sz w:val="24"/>
          <w:szCs w:val="24"/>
        </w:rPr>
        <w:t>Historical Land Injustice and Our Constitutional Rights</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color w:val="000000"/>
          <w:sz w:val="24"/>
          <w:szCs w:val="24"/>
        </w:rPr>
      </w:pPr>
      <w:r>
        <w:rPr>
          <w:rFonts w:cstheme="minorHAnsi"/>
          <w:sz w:val="24"/>
          <w:szCs w:val="24"/>
        </w:rPr>
        <w:t>The seriousness of our grievances cannot be fully appreciated unless they are placed in their proper historical context. T</w:t>
      </w:r>
      <w:r>
        <w:rPr>
          <w:rFonts w:cstheme="minorHAnsi"/>
          <w:color w:val="000000"/>
          <w:sz w:val="24"/>
          <w:szCs w:val="24"/>
        </w:rPr>
        <w:t>he loss of ancestral land by the Mijikenda is a well-known historical injustice that was initiated by the Sultanate of Zanzibar, and perpetuated by the British colonial and independent Kenyan governments. This has been conceded by the Kenyan government, which appointed a Parliamentary Select Committee in 1976 to investigate the issue of land ownership within Kenya’s Coastal strip (</w:t>
      </w:r>
      <w:proofErr w:type="spellStart"/>
      <w:r>
        <w:rPr>
          <w:rFonts w:cstheme="minorHAnsi"/>
          <w:i/>
          <w:color w:val="000000"/>
          <w:sz w:val="24"/>
          <w:szCs w:val="24"/>
        </w:rPr>
        <w:t>Mwambao</w:t>
      </w:r>
      <w:proofErr w:type="spellEnd"/>
      <w:r>
        <w:rPr>
          <w:rFonts w:cstheme="minorHAnsi"/>
          <w:color w:val="000000"/>
          <w:sz w:val="24"/>
          <w:szCs w:val="24"/>
        </w:rPr>
        <w:t xml:space="preserve">). This committee made extensive recommendations, including: </w:t>
      </w:r>
    </w:p>
    <w:p w:rsidR="00690735" w:rsidRDefault="00690735" w:rsidP="00690735">
      <w:pPr>
        <w:spacing w:after="0" w:line="240" w:lineRule="auto"/>
        <w:jc w:val="both"/>
        <w:rPr>
          <w:rFonts w:cstheme="minorHAnsi"/>
          <w:color w:val="000000"/>
          <w:sz w:val="24"/>
          <w:szCs w:val="24"/>
        </w:rPr>
      </w:pPr>
    </w:p>
    <w:p w:rsidR="00690735" w:rsidRDefault="00690735" w:rsidP="00690735">
      <w:pPr>
        <w:pStyle w:val="ListParagraph"/>
        <w:numPr>
          <w:ilvl w:val="0"/>
          <w:numId w:val="1"/>
        </w:numPr>
        <w:jc w:val="both"/>
        <w:rPr>
          <w:rFonts w:asciiTheme="minorHAnsi" w:hAnsiTheme="minorHAnsi" w:cstheme="minorHAnsi"/>
          <w:color w:val="000000"/>
        </w:rPr>
      </w:pPr>
      <w:r>
        <w:rPr>
          <w:rFonts w:asciiTheme="minorHAnsi" w:hAnsiTheme="minorHAnsi" w:cstheme="minorHAnsi"/>
          <w:color w:val="000000"/>
        </w:rPr>
        <w:t xml:space="preserve">enfranchisement of actual occupiers / users of land; </w:t>
      </w:r>
    </w:p>
    <w:p w:rsidR="00690735" w:rsidRDefault="00690735" w:rsidP="00690735">
      <w:pPr>
        <w:pStyle w:val="ListParagraph"/>
        <w:numPr>
          <w:ilvl w:val="0"/>
          <w:numId w:val="1"/>
        </w:numPr>
        <w:jc w:val="both"/>
        <w:rPr>
          <w:rFonts w:asciiTheme="minorHAnsi" w:hAnsiTheme="minorHAnsi" w:cstheme="minorHAnsi"/>
          <w:color w:val="000000"/>
        </w:rPr>
      </w:pPr>
      <w:r>
        <w:rPr>
          <w:rFonts w:asciiTheme="minorHAnsi" w:hAnsiTheme="minorHAnsi" w:cstheme="minorHAnsi"/>
          <w:color w:val="000000"/>
        </w:rPr>
        <w:t>restitution of land where appropriate;</w:t>
      </w:r>
    </w:p>
    <w:p w:rsidR="00690735" w:rsidRDefault="00690735" w:rsidP="00690735">
      <w:pPr>
        <w:pStyle w:val="ListParagraph"/>
        <w:numPr>
          <w:ilvl w:val="0"/>
          <w:numId w:val="1"/>
        </w:numPr>
        <w:jc w:val="both"/>
        <w:rPr>
          <w:rFonts w:asciiTheme="minorHAnsi" w:hAnsiTheme="minorHAnsi" w:cstheme="minorHAnsi"/>
          <w:color w:val="000000"/>
        </w:rPr>
      </w:pPr>
      <w:r>
        <w:rPr>
          <w:rFonts w:asciiTheme="minorHAnsi" w:hAnsiTheme="minorHAnsi" w:cstheme="minorHAnsi"/>
          <w:color w:val="000000"/>
        </w:rPr>
        <w:t xml:space="preserve">compensation at market prices or reparations in respect of land lost either to the Arabs or the Government (colonial and Kenyan); and </w:t>
      </w:r>
    </w:p>
    <w:p w:rsidR="00690735" w:rsidRDefault="00690735" w:rsidP="00690735">
      <w:pPr>
        <w:pStyle w:val="ListParagraph"/>
        <w:numPr>
          <w:ilvl w:val="0"/>
          <w:numId w:val="1"/>
        </w:numPr>
        <w:jc w:val="both"/>
        <w:rPr>
          <w:rFonts w:asciiTheme="minorHAnsi" w:hAnsiTheme="minorHAnsi" w:cstheme="minorHAnsi"/>
          <w:color w:val="000000"/>
        </w:rPr>
      </w:pPr>
      <w:proofErr w:type="gramStart"/>
      <w:r>
        <w:rPr>
          <w:rFonts w:asciiTheme="minorHAnsi" w:hAnsiTheme="minorHAnsi" w:cstheme="minorHAnsi"/>
          <w:color w:val="000000"/>
        </w:rPr>
        <w:t>facilitation</w:t>
      </w:r>
      <w:proofErr w:type="gramEnd"/>
      <w:r>
        <w:rPr>
          <w:rFonts w:asciiTheme="minorHAnsi" w:hAnsiTheme="minorHAnsi" w:cstheme="minorHAnsi"/>
          <w:color w:val="000000"/>
        </w:rPr>
        <w:t xml:space="preserve"> of purchase by local communities of land held by absentee landlords.</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Pursuant to this, in many parts of Kenya, land is still communally owned and community members do not have title deeds. Nevertheless, these </w:t>
      </w:r>
      <w:r>
        <w:rPr>
          <w:rFonts w:cstheme="minorHAnsi"/>
          <w:i/>
          <w:sz w:val="24"/>
          <w:szCs w:val="24"/>
        </w:rPr>
        <w:t>customary rights</w:t>
      </w:r>
      <w:r>
        <w:rPr>
          <w:rFonts w:cstheme="minorHAnsi"/>
          <w:sz w:val="24"/>
          <w:szCs w:val="24"/>
        </w:rPr>
        <w:t xml:space="preserve"> to land are recognized under the </w:t>
      </w:r>
      <w:r>
        <w:rPr>
          <w:rFonts w:cstheme="minorHAnsi"/>
          <w:i/>
          <w:sz w:val="24"/>
          <w:szCs w:val="24"/>
        </w:rPr>
        <w:t>Constitution of Kenya (2010)</w:t>
      </w:r>
      <w:r>
        <w:rPr>
          <w:rFonts w:cstheme="minorHAnsi"/>
          <w:sz w:val="24"/>
          <w:szCs w:val="24"/>
        </w:rPr>
        <w:t xml:space="preserve">, the </w:t>
      </w:r>
      <w:r>
        <w:rPr>
          <w:rFonts w:cstheme="minorHAnsi"/>
          <w:i/>
          <w:sz w:val="24"/>
          <w:szCs w:val="24"/>
        </w:rPr>
        <w:t>Community Land Act (2016)</w:t>
      </w:r>
      <w:r>
        <w:rPr>
          <w:rFonts w:cstheme="minorHAnsi"/>
          <w:sz w:val="24"/>
          <w:szCs w:val="24"/>
        </w:rPr>
        <w:t xml:space="preserve">, and the </w:t>
      </w:r>
      <w:r>
        <w:rPr>
          <w:rFonts w:cstheme="minorHAnsi"/>
          <w:i/>
          <w:sz w:val="24"/>
          <w:szCs w:val="24"/>
        </w:rPr>
        <w:t>Land Act (2012)</w:t>
      </w:r>
      <w:r>
        <w:rPr>
          <w:rFonts w:cstheme="minorHAnsi"/>
          <w:sz w:val="24"/>
          <w:szCs w:val="24"/>
        </w:rPr>
        <w:t xml:space="preserve"> as stated below –</w:t>
      </w:r>
    </w:p>
    <w:p w:rsidR="00690735" w:rsidRDefault="00690735" w:rsidP="00690735">
      <w:pPr>
        <w:spacing w:after="0" w:line="240" w:lineRule="auto"/>
        <w:jc w:val="both"/>
        <w:rPr>
          <w:rFonts w:cstheme="minorHAnsi"/>
          <w:b/>
          <w:i/>
          <w:sz w:val="24"/>
          <w:szCs w:val="24"/>
        </w:rPr>
      </w:pPr>
    </w:p>
    <w:p w:rsidR="00690735" w:rsidRDefault="00690735" w:rsidP="00690735">
      <w:pPr>
        <w:spacing w:after="0" w:line="240" w:lineRule="auto"/>
        <w:jc w:val="both"/>
        <w:rPr>
          <w:rFonts w:cstheme="minorHAnsi"/>
          <w:b/>
          <w:i/>
          <w:sz w:val="24"/>
          <w:szCs w:val="24"/>
        </w:rPr>
      </w:pPr>
      <w:r>
        <w:rPr>
          <w:rFonts w:cstheme="minorHAnsi"/>
          <w:b/>
          <w:i/>
          <w:sz w:val="24"/>
          <w:szCs w:val="24"/>
        </w:rPr>
        <w:t>Articles 63 and 40 of the Constitution of Kenya (2010)</w:t>
      </w:r>
      <w:r>
        <w:rPr>
          <w:rFonts w:cstheme="minorHAnsi"/>
          <w:b/>
          <w:sz w:val="24"/>
          <w:szCs w:val="24"/>
        </w:rPr>
        <w:t>:</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63(2)(</w:t>
      </w:r>
      <w:proofErr w:type="spellStart"/>
      <w:r>
        <w:rPr>
          <w:rFonts w:cstheme="minorHAnsi"/>
          <w:sz w:val="24"/>
          <w:szCs w:val="24"/>
        </w:rPr>
        <w:t>i</w:t>
      </w:r>
      <w:proofErr w:type="spellEnd"/>
      <w:r>
        <w:rPr>
          <w:rFonts w:cstheme="minorHAnsi"/>
          <w:sz w:val="24"/>
          <w:szCs w:val="24"/>
        </w:rPr>
        <w:t>) Community land consists of land that is lawfully held, managed or used by specific communities as community forests, grazing areas, or shrines;</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63(3) </w:t>
      </w:r>
      <w:proofErr w:type="gramStart"/>
      <w:r>
        <w:rPr>
          <w:rFonts w:cstheme="minorHAnsi"/>
          <w:sz w:val="24"/>
          <w:szCs w:val="24"/>
        </w:rPr>
        <w:t>Any</w:t>
      </w:r>
      <w:proofErr w:type="gramEnd"/>
      <w:r>
        <w:rPr>
          <w:rFonts w:cstheme="minorHAnsi"/>
          <w:sz w:val="24"/>
          <w:szCs w:val="24"/>
        </w:rPr>
        <w:t xml:space="preserve"> unregistered community land shall be held in trust by county governments on behalf of the communities for which it is held.</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63(4) Community land shall not be disposed of or otherwise used except in terms of legislation specifying the nature and extent of the rights of members of each community individually and collectively.</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lastRenderedPageBreak/>
        <w:t xml:space="preserve">40(3) The State shall not deprive a person of property of any description, or of any interest in, or right over, property of any description, unless the deprivation – </w:t>
      </w:r>
    </w:p>
    <w:p w:rsidR="00690735" w:rsidRDefault="00690735" w:rsidP="00690735">
      <w:pPr>
        <w:spacing w:after="0" w:line="240" w:lineRule="auto"/>
        <w:jc w:val="both"/>
        <w:rPr>
          <w:rFonts w:cstheme="minorHAnsi"/>
          <w:sz w:val="24"/>
          <w:szCs w:val="24"/>
        </w:rPr>
      </w:pPr>
    </w:p>
    <w:p w:rsidR="00690735" w:rsidRDefault="00690735" w:rsidP="00690735">
      <w:pPr>
        <w:pStyle w:val="ListParagraph"/>
        <w:numPr>
          <w:ilvl w:val="0"/>
          <w:numId w:val="2"/>
        </w:numPr>
        <w:jc w:val="both"/>
        <w:rPr>
          <w:rFonts w:asciiTheme="minorHAnsi" w:hAnsiTheme="minorHAnsi" w:cstheme="minorHAnsi"/>
        </w:rPr>
      </w:pPr>
      <w:r>
        <w:rPr>
          <w:rFonts w:asciiTheme="minorHAnsi" w:hAnsiTheme="minorHAnsi" w:cstheme="minorHAnsi"/>
        </w:rPr>
        <w:t>results from an acquisition of land or an interest in land or a conversion of an interest in land, or title to land, in accordance with Chapter Five; or</w:t>
      </w:r>
    </w:p>
    <w:p w:rsidR="00690735" w:rsidRDefault="00690735" w:rsidP="00690735">
      <w:pPr>
        <w:pStyle w:val="ListParagraph"/>
        <w:numPr>
          <w:ilvl w:val="0"/>
          <w:numId w:val="2"/>
        </w:numPr>
        <w:jc w:val="both"/>
        <w:rPr>
          <w:rFonts w:asciiTheme="minorHAnsi" w:hAnsiTheme="minorHAnsi" w:cstheme="minorHAnsi"/>
        </w:rPr>
      </w:pPr>
      <w:r>
        <w:rPr>
          <w:rFonts w:asciiTheme="minorHAnsi" w:hAnsiTheme="minorHAnsi" w:cstheme="minorHAnsi"/>
        </w:rPr>
        <w:t xml:space="preserve">is for a public purpose or in the public interest and is carried out in accordance with this Constitution and any Act of Parliament that –                                                  </w:t>
      </w:r>
    </w:p>
    <w:p w:rsidR="00690735" w:rsidRDefault="00690735" w:rsidP="00690735">
      <w:pPr>
        <w:pStyle w:val="ListParagraph"/>
        <w:jc w:val="both"/>
        <w:rPr>
          <w:rFonts w:asciiTheme="minorHAnsi" w:hAnsiTheme="minorHAnsi" w:cstheme="minorHAnsi"/>
        </w:rPr>
      </w:pPr>
    </w:p>
    <w:p w:rsidR="00690735" w:rsidRDefault="00690735" w:rsidP="00690735">
      <w:pPr>
        <w:spacing w:after="0"/>
        <w:ind w:left="720"/>
        <w:jc w:val="both"/>
        <w:rPr>
          <w:rFonts w:cstheme="minorHAnsi"/>
          <w:sz w:val="24"/>
          <w:szCs w:val="24"/>
        </w:rPr>
      </w:pPr>
      <w:r>
        <w:rPr>
          <w:rFonts w:cstheme="minorHAnsi"/>
          <w:sz w:val="24"/>
          <w:szCs w:val="24"/>
        </w:rPr>
        <w:t>(</w:t>
      </w:r>
      <w:proofErr w:type="spellStart"/>
      <w:r>
        <w:rPr>
          <w:rFonts w:cstheme="minorHAnsi"/>
          <w:sz w:val="24"/>
          <w:szCs w:val="24"/>
        </w:rPr>
        <w:t>i</w:t>
      </w:r>
      <w:proofErr w:type="spellEnd"/>
      <w:r>
        <w:rPr>
          <w:rFonts w:cstheme="minorHAnsi"/>
          <w:sz w:val="24"/>
          <w:szCs w:val="24"/>
        </w:rPr>
        <w:t xml:space="preserve">) </w:t>
      </w:r>
      <w:proofErr w:type="gramStart"/>
      <w:r>
        <w:rPr>
          <w:rFonts w:cstheme="minorHAnsi"/>
          <w:sz w:val="24"/>
          <w:szCs w:val="24"/>
        </w:rPr>
        <w:t>requires</w:t>
      </w:r>
      <w:proofErr w:type="gramEnd"/>
      <w:r>
        <w:rPr>
          <w:rFonts w:cstheme="minorHAnsi"/>
          <w:sz w:val="24"/>
          <w:szCs w:val="24"/>
        </w:rPr>
        <w:t xml:space="preserve"> prompt payment in full, or just compensation to the person; and</w:t>
      </w:r>
    </w:p>
    <w:p w:rsidR="00690735" w:rsidRDefault="00690735" w:rsidP="00690735">
      <w:pPr>
        <w:spacing w:after="0"/>
        <w:ind w:left="720"/>
        <w:jc w:val="both"/>
        <w:rPr>
          <w:rFonts w:cstheme="minorHAnsi"/>
          <w:sz w:val="24"/>
          <w:szCs w:val="24"/>
        </w:rPr>
      </w:pPr>
      <w:r>
        <w:rPr>
          <w:rFonts w:cstheme="minorHAnsi"/>
          <w:sz w:val="24"/>
          <w:szCs w:val="24"/>
        </w:rPr>
        <w:t xml:space="preserve">(ii) </w:t>
      </w:r>
      <w:proofErr w:type="gramStart"/>
      <w:r>
        <w:rPr>
          <w:rFonts w:cstheme="minorHAnsi"/>
          <w:sz w:val="24"/>
          <w:szCs w:val="24"/>
        </w:rPr>
        <w:t>allows</w:t>
      </w:r>
      <w:proofErr w:type="gramEnd"/>
      <w:r>
        <w:rPr>
          <w:rFonts w:cstheme="minorHAnsi"/>
          <w:sz w:val="24"/>
          <w:szCs w:val="24"/>
        </w:rPr>
        <w:t xml:space="preserve"> any person who has interest in, or right over, that property a right to access to a court of law.</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40(4) Provision may be made for compensation to be paid to occupants in good faith of land acquired under clause (3) who may not hold title to the land. </w:t>
      </w:r>
    </w:p>
    <w:p w:rsidR="00690735" w:rsidRDefault="00690735" w:rsidP="00690735">
      <w:pPr>
        <w:spacing w:after="0" w:line="240" w:lineRule="auto"/>
        <w:jc w:val="both"/>
        <w:rPr>
          <w:rFonts w:cstheme="minorHAnsi"/>
          <w:b/>
          <w:i/>
          <w:sz w:val="24"/>
          <w:szCs w:val="24"/>
        </w:rPr>
      </w:pPr>
    </w:p>
    <w:p w:rsidR="00690735" w:rsidRDefault="00690735" w:rsidP="00690735">
      <w:pPr>
        <w:spacing w:after="0" w:line="240" w:lineRule="auto"/>
        <w:jc w:val="both"/>
        <w:rPr>
          <w:rFonts w:cstheme="minorHAnsi"/>
          <w:b/>
          <w:i/>
          <w:sz w:val="24"/>
          <w:szCs w:val="24"/>
        </w:rPr>
      </w:pPr>
      <w:r>
        <w:rPr>
          <w:rFonts w:cstheme="minorHAnsi"/>
          <w:b/>
          <w:i/>
          <w:sz w:val="24"/>
          <w:szCs w:val="24"/>
        </w:rPr>
        <w:t>Sections 4, 5, 6, 35 and 36 of the Community Land Act, 2016</w:t>
      </w:r>
      <w:r>
        <w:rPr>
          <w:rFonts w:cstheme="minorHAnsi"/>
          <w:b/>
          <w:sz w:val="24"/>
          <w:szCs w:val="24"/>
        </w:rPr>
        <w:t>:</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4(3) Community land shall vest in the community and may be held under any of the following tenure systems – </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customary</w:t>
      </w:r>
      <w:proofErr w:type="gramEnd"/>
      <w:r>
        <w:rPr>
          <w:rFonts w:cstheme="minorHAnsi"/>
          <w:sz w:val="24"/>
          <w:szCs w:val="24"/>
        </w:rPr>
        <w:t>;</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freehold</w:t>
      </w:r>
      <w:proofErr w:type="gramEnd"/>
      <w:r>
        <w:rPr>
          <w:rFonts w:cstheme="minorHAnsi"/>
          <w:sz w:val="24"/>
          <w:szCs w:val="24"/>
        </w:rPr>
        <w:t>;</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leasehold</w:t>
      </w:r>
      <w:proofErr w:type="gramEnd"/>
      <w:r>
        <w:rPr>
          <w:rFonts w:cstheme="minorHAnsi"/>
          <w:sz w:val="24"/>
          <w:szCs w:val="24"/>
        </w:rPr>
        <w:t>; and</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(d) </w:t>
      </w:r>
      <w:proofErr w:type="gramStart"/>
      <w:r>
        <w:rPr>
          <w:rFonts w:cstheme="minorHAnsi"/>
          <w:sz w:val="24"/>
          <w:szCs w:val="24"/>
        </w:rPr>
        <w:t>such</w:t>
      </w:r>
      <w:proofErr w:type="gramEnd"/>
      <w:r>
        <w:rPr>
          <w:rFonts w:cstheme="minorHAnsi"/>
          <w:sz w:val="24"/>
          <w:szCs w:val="24"/>
        </w:rPr>
        <w:t xml:space="preserve"> other tenure system recognized under this Act or other written law.</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5(2) </w:t>
      </w:r>
      <w:proofErr w:type="gramStart"/>
      <w:r>
        <w:rPr>
          <w:rFonts w:cstheme="minorHAnsi"/>
          <w:sz w:val="24"/>
          <w:szCs w:val="24"/>
        </w:rPr>
        <w:t>Customary</w:t>
      </w:r>
      <w:proofErr w:type="gramEnd"/>
      <w:r>
        <w:rPr>
          <w:rFonts w:cstheme="minorHAnsi"/>
          <w:sz w:val="24"/>
          <w:szCs w:val="24"/>
        </w:rPr>
        <w:t xml:space="preserve"> land rights shall be recognized, adjudicated for and documented for purposes of registration in accordance with this Act and any other written </w:t>
      </w:r>
      <w:proofErr w:type="spellStart"/>
      <w:r>
        <w:rPr>
          <w:rFonts w:cstheme="minorHAnsi"/>
          <w:sz w:val="24"/>
          <w:szCs w:val="24"/>
        </w:rPr>
        <w:t>Iaw</w:t>
      </w:r>
      <w:proofErr w:type="spellEnd"/>
      <w:r>
        <w:rPr>
          <w:rFonts w:cstheme="minorHAnsi"/>
          <w:sz w:val="24"/>
          <w:szCs w:val="24"/>
        </w:rPr>
        <w:t>.</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5(3) </w:t>
      </w:r>
      <w:proofErr w:type="gramStart"/>
      <w:r>
        <w:rPr>
          <w:rFonts w:cstheme="minorHAnsi"/>
          <w:sz w:val="24"/>
          <w:szCs w:val="24"/>
        </w:rPr>
        <w:t>Customary</w:t>
      </w:r>
      <w:proofErr w:type="gramEnd"/>
      <w:r>
        <w:rPr>
          <w:rFonts w:cstheme="minorHAnsi"/>
          <w:sz w:val="24"/>
          <w:szCs w:val="24"/>
        </w:rPr>
        <w:t xml:space="preserve"> land rights, including those held in common shall have equal force and effect in law with freehold or leasehold rights acquired through allocation, registration or transfer.</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5(4) Subject to Article 40(3) of the Constitution and the Land Act, no interest in, or right over community land may be compulsorily acquired by the State except in accordance with the law, for a public purpose, and upon prompt payment of just compensation to the person or persons, in full or by negotiated settlement.</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5(5) Subject to the provisions of section 46 of this Act, any person who immediately before the commencement of this Act had a subsisting customary right to hold or occupy land shall upon commencement of this Act continue to hold such right.</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6(1) County governments shall hold in trust all unregistered community land on behalf of the communities for which it is held.</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6(6) </w:t>
      </w:r>
      <w:proofErr w:type="gramStart"/>
      <w:r>
        <w:rPr>
          <w:rFonts w:cstheme="minorHAnsi"/>
          <w:sz w:val="24"/>
          <w:szCs w:val="24"/>
        </w:rPr>
        <w:t>Any</w:t>
      </w:r>
      <w:proofErr w:type="gramEnd"/>
      <w:r>
        <w:rPr>
          <w:rFonts w:cstheme="minorHAnsi"/>
          <w:sz w:val="24"/>
          <w:szCs w:val="24"/>
        </w:rPr>
        <w:t xml:space="preserve"> transaction in relation to unregistered community land within the county shall be in accordance with the provisions of this Act and any other applicable law.</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lastRenderedPageBreak/>
        <w:t xml:space="preserve">6(8) </w:t>
      </w:r>
      <w:proofErr w:type="gramStart"/>
      <w:r>
        <w:rPr>
          <w:rFonts w:cstheme="minorHAnsi"/>
          <w:sz w:val="24"/>
          <w:szCs w:val="24"/>
        </w:rPr>
        <w:t>A</w:t>
      </w:r>
      <w:proofErr w:type="gramEnd"/>
      <w:r>
        <w:rPr>
          <w:rFonts w:cstheme="minorHAnsi"/>
          <w:sz w:val="24"/>
          <w:szCs w:val="24"/>
        </w:rPr>
        <w:t xml:space="preserve"> county government shall not sell, dispose, transfer, convert for private purposes or in any other way dispose of any unregistered community land that it is holding in trust on behalf of the communities for which it is held.</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35. Subject to any other law, natural resources found in community land shall be used and managed - </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sustainably</w:t>
      </w:r>
      <w:proofErr w:type="gramEnd"/>
      <w:r>
        <w:rPr>
          <w:rFonts w:cstheme="minorHAnsi"/>
          <w:sz w:val="24"/>
          <w:szCs w:val="24"/>
        </w:rPr>
        <w:t xml:space="preserve"> and productively;</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for</w:t>
      </w:r>
      <w:proofErr w:type="gramEnd"/>
      <w:r>
        <w:rPr>
          <w:rFonts w:cstheme="minorHAnsi"/>
          <w:sz w:val="24"/>
          <w:szCs w:val="24"/>
        </w:rPr>
        <w:t xml:space="preserve"> the benefit of the whole community including future generations;</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with</w:t>
      </w:r>
      <w:proofErr w:type="gramEnd"/>
      <w:r>
        <w:rPr>
          <w:rFonts w:cstheme="minorHAnsi"/>
          <w:sz w:val="24"/>
          <w:szCs w:val="24"/>
        </w:rPr>
        <w:t xml:space="preserve"> transparency and accountability; and</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w:t>
      </w:r>
      <w:proofErr w:type="gramStart"/>
      <w:r>
        <w:rPr>
          <w:rFonts w:cstheme="minorHAnsi"/>
          <w:sz w:val="24"/>
          <w:szCs w:val="24"/>
        </w:rPr>
        <w:t>d</w:t>
      </w:r>
      <w:proofErr w:type="gramEnd"/>
      <w:r>
        <w:rPr>
          <w:rFonts w:cstheme="minorHAnsi"/>
          <w:sz w:val="24"/>
          <w:szCs w:val="24"/>
        </w:rPr>
        <w:t>) on the basis of equitable sharing of accruing benefits.</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36(1) Subject to any other relevant written law, an agreement relating to investment in community land shall be made after a free, open consultative process and shall contain provisions on the following aspects – </w:t>
      </w:r>
    </w:p>
    <w:p w:rsidR="00690735" w:rsidRDefault="00690735" w:rsidP="00690735">
      <w:pPr>
        <w:autoSpaceDE w:val="0"/>
        <w:autoSpaceDN w:val="0"/>
        <w:adjustRightInd w:val="0"/>
        <w:spacing w:after="0" w:line="240" w:lineRule="auto"/>
        <w:ind w:left="720"/>
        <w:jc w:val="both"/>
        <w:rPr>
          <w:rFonts w:cstheme="minorHAnsi"/>
          <w:sz w:val="24"/>
          <w:szCs w:val="24"/>
        </w:rPr>
      </w:pP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(a) </w:t>
      </w:r>
      <w:proofErr w:type="gramStart"/>
      <w:r>
        <w:rPr>
          <w:rFonts w:cstheme="minorHAnsi"/>
          <w:sz w:val="24"/>
          <w:szCs w:val="24"/>
        </w:rPr>
        <w:t>an</w:t>
      </w:r>
      <w:proofErr w:type="gramEnd"/>
      <w:r>
        <w:rPr>
          <w:rFonts w:cstheme="minorHAnsi"/>
          <w:sz w:val="24"/>
          <w:szCs w:val="24"/>
        </w:rPr>
        <w:t xml:space="preserve"> environmental, social, cultural and economic impact assessment;</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(b) </w:t>
      </w:r>
      <w:proofErr w:type="gramStart"/>
      <w:r>
        <w:rPr>
          <w:rFonts w:cstheme="minorHAnsi"/>
          <w:sz w:val="24"/>
          <w:szCs w:val="24"/>
        </w:rPr>
        <w:t>stakeholder</w:t>
      </w:r>
      <w:proofErr w:type="gramEnd"/>
      <w:r>
        <w:rPr>
          <w:rFonts w:cstheme="minorHAnsi"/>
          <w:sz w:val="24"/>
          <w:szCs w:val="24"/>
        </w:rPr>
        <w:t xml:space="preserve"> consultations and involvement of the community;</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(c) </w:t>
      </w:r>
      <w:proofErr w:type="gramStart"/>
      <w:r>
        <w:rPr>
          <w:rFonts w:cstheme="minorHAnsi"/>
          <w:sz w:val="24"/>
          <w:szCs w:val="24"/>
        </w:rPr>
        <w:t>continuous</w:t>
      </w:r>
      <w:proofErr w:type="gramEnd"/>
      <w:r>
        <w:rPr>
          <w:rFonts w:cstheme="minorHAnsi"/>
          <w:sz w:val="24"/>
          <w:szCs w:val="24"/>
        </w:rPr>
        <w:t xml:space="preserve"> monitoring and evaluation of the impact of the investment to the community;</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(d) </w:t>
      </w:r>
      <w:proofErr w:type="gramStart"/>
      <w:r>
        <w:rPr>
          <w:rFonts w:cstheme="minorHAnsi"/>
          <w:sz w:val="24"/>
          <w:szCs w:val="24"/>
        </w:rPr>
        <w:t>payment</w:t>
      </w:r>
      <w:proofErr w:type="gramEnd"/>
      <w:r>
        <w:rPr>
          <w:rFonts w:cstheme="minorHAnsi"/>
          <w:sz w:val="24"/>
          <w:szCs w:val="24"/>
        </w:rPr>
        <w:t xml:space="preserve"> of compensation and royalties;</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(e) </w:t>
      </w:r>
      <w:proofErr w:type="gramStart"/>
      <w:r>
        <w:rPr>
          <w:rFonts w:cstheme="minorHAnsi"/>
          <w:sz w:val="24"/>
          <w:szCs w:val="24"/>
        </w:rPr>
        <w:t>requirement</w:t>
      </w:r>
      <w:proofErr w:type="gramEnd"/>
      <w:r>
        <w:rPr>
          <w:rFonts w:cstheme="minorHAnsi"/>
          <w:sz w:val="24"/>
          <w:szCs w:val="24"/>
        </w:rPr>
        <w:t xml:space="preserve"> to re-habilitate the land upon completion or abandonment of the project;</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(f) </w:t>
      </w:r>
      <w:proofErr w:type="gramStart"/>
      <w:r>
        <w:rPr>
          <w:rFonts w:cstheme="minorHAnsi"/>
          <w:sz w:val="24"/>
          <w:szCs w:val="24"/>
        </w:rPr>
        <w:t>measures</w:t>
      </w:r>
      <w:proofErr w:type="gramEnd"/>
      <w:r>
        <w:rPr>
          <w:rFonts w:cstheme="minorHAnsi"/>
          <w:sz w:val="24"/>
          <w:szCs w:val="24"/>
        </w:rPr>
        <w:t xml:space="preserve"> to be put in place to mitigate any negative effects of the investment;</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(g) </w:t>
      </w:r>
      <w:proofErr w:type="gramStart"/>
      <w:r>
        <w:rPr>
          <w:rFonts w:cstheme="minorHAnsi"/>
          <w:sz w:val="24"/>
          <w:szCs w:val="24"/>
        </w:rPr>
        <w:t>capacity</w:t>
      </w:r>
      <w:proofErr w:type="gramEnd"/>
      <w:r>
        <w:rPr>
          <w:rFonts w:cstheme="minorHAnsi"/>
          <w:sz w:val="24"/>
          <w:szCs w:val="24"/>
        </w:rPr>
        <w:t xml:space="preserve"> building of the community and transfer technology to the community; and</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(h) </w:t>
      </w:r>
      <w:proofErr w:type="gramStart"/>
      <w:r>
        <w:rPr>
          <w:rFonts w:cstheme="minorHAnsi"/>
          <w:sz w:val="24"/>
          <w:szCs w:val="24"/>
        </w:rPr>
        <w:t>any</w:t>
      </w:r>
      <w:proofErr w:type="gramEnd"/>
      <w:r>
        <w:rPr>
          <w:rFonts w:cstheme="minorHAnsi"/>
          <w:sz w:val="24"/>
          <w:szCs w:val="24"/>
        </w:rPr>
        <w:t xml:space="preserve"> other matters necessary for determining how local communities will benefit from investments in their land.</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(2) An agreement relating to investment in community land shall only be made between the investor and the community.</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(3) No agreement between an investor and the community shall be valid unless it is approved by two thirds of adult members at a community assembly meeting called to consider the offer and at which a quorum of two thirds of the adult members of that community is represented.</w:t>
      </w:r>
    </w:p>
    <w:p w:rsidR="00690735" w:rsidRDefault="00690735" w:rsidP="00690735">
      <w:pPr>
        <w:autoSpaceDE w:val="0"/>
        <w:autoSpaceDN w:val="0"/>
        <w:adjustRightInd w:val="0"/>
        <w:spacing w:after="0" w:line="240" w:lineRule="auto"/>
        <w:jc w:val="both"/>
        <w:rPr>
          <w:rFonts w:cstheme="minorHAnsi"/>
          <w:sz w:val="24"/>
          <w:szCs w:val="24"/>
        </w:rPr>
      </w:pPr>
    </w:p>
    <w:p w:rsidR="00690735" w:rsidRP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(4) The community may request the guidance and assistance of the county government or any other relevant stakeholders in consi</w:t>
      </w:r>
      <w:r>
        <w:rPr>
          <w:rFonts w:cstheme="minorHAnsi"/>
          <w:sz w:val="24"/>
          <w:szCs w:val="24"/>
        </w:rPr>
        <w:t>dering the offer of investment.</w:t>
      </w:r>
    </w:p>
    <w:p w:rsidR="00690735" w:rsidRDefault="00690735" w:rsidP="00690735">
      <w:pPr>
        <w:spacing w:after="0" w:line="240" w:lineRule="auto"/>
        <w:jc w:val="both"/>
        <w:rPr>
          <w:rFonts w:cstheme="minorHAnsi"/>
          <w:b/>
          <w:i/>
          <w:sz w:val="24"/>
          <w:szCs w:val="24"/>
        </w:rPr>
      </w:pPr>
    </w:p>
    <w:p w:rsidR="00690735" w:rsidRDefault="00690735" w:rsidP="00690735">
      <w:pPr>
        <w:spacing w:after="0" w:line="240" w:lineRule="auto"/>
        <w:jc w:val="both"/>
        <w:rPr>
          <w:rFonts w:cstheme="minorHAnsi"/>
          <w:b/>
          <w:i/>
          <w:sz w:val="24"/>
          <w:szCs w:val="24"/>
        </w:rPr>
      </w:pPr>
      <w:r>
        <w:rPr>
          <w:rFonts w:cstheme="minorHAnsi"/>
          <w:b/>
          <w:i/>
          <w:sz w:val="24"/>
          <w:szCs w:val="24"/>
        </w:rPr>
        <w:t>Sections 5 and 111 of the Land Act, 2012</w:t>
      </w:r>
      <w:r>
        <w:rPr>
          <w:rFonts w:cstheme="minorHAnsi"/>
          <w:b/>
          <w:sz w:val="24"/>
          <w:szCs w:val="24"/>
        </w:rPr>
        <w:t>:</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sz w:val="24"/>
          <w:szCs w:val="24"/>
        </w:rPr>
        <w:t xml:space="preserve">5(2) </w:t>
      </w:r>
      <w:proofErr w:type="gramStart"/>
      <w:r>
        <w:rPr>
          <w:rFonts w:cstheme="minorHAnsi"/>
          <w:sz w:val="24"/>
          <w:szCs w:val="24"/>
        </w:rPr>
        <w:t>There</w:t>
      </w:r>
      <w:proofErr w:type="gramEnd"/>
      <w:r>
        <w:rPr>
          <w:rFonts w:cstheme="minorHAnsi"/>
          <w:sz w:val="24"/>
          <w:szCs w:val="24"/>
        </w:rPr>
        <w:t xml:space="preserve"> shall be equal recognition and enforcement of land rights arising under all tenure systems and non-discrimination in ownership of, and access to land under all tenure systems.</w:t>
      </w:r>
    </w:p>
    <w:p w:rsidR="00690735" w:rsidRDefault="00690735" w:rsidP="00690735">
      <w:pPr>
        <w:autoSpaceDE w:val="0"/>
        <w:autoSpaceDN w:val="0"/>
        <w:adjustRightInd w:val="0"/>
        <w:spacing w:after="0" w:line="240" w:lineRule="auto"/>
        <w:jc w:val="both"/>
        <w:rPr>
          <w:rFonts w:cstheme="minorHAnsi"/>
          <w:sz w:val="24"/>
          <w:szCs w:val="24"/>
        </w:rPr>
      </w:pPr>
    </w:p>
    <w:p w:rsidR="00690735" w:rsidRDefault="00690735" w:rsidP="00690735">
      <w:pPr>
        <w:autoSpaceDE w:val="0"/>
        <w:autoSpaceDN w:val="0"/>
        <w:adjustRightInd w:val="0"/>
        <w:spacing w:after="0" w:line="240" w:lineRule="auto"/>
        <w:jc w:val="both"/>
        <w:rPr>
          <w:rFonts w:cstheme="minorHAnsi"/>
          <w:sz w:val="24"/>
          <w:szCs w:val="24"/>
        </w:rPr>
      </w:pPr>
      <w:r>
        <w:rPr>
          <w:rFonts w:cstheme="minorHAnsi"/>
          <w:bCs/>
          <w:sz w:val="24"/>
          <w:szCs w:val="24"/>
        </w:rPr>
        <w:t>111</w:t>
      </w:r>
      <w:r>
        <w:rPr>
          <w:rFonts w:cstheme="minorHAnsi"/>
          <w:sz w:val="24"/>
          <w:szCs w:val="24"/>
        </w:rPr>
        <w:t xml:space="preserve">(1) </w:t>
      </w:r>
      <w:proofErr w:type="gramStart"/>
      <w:r>
        <w:rPr>
          <w:rFonts w:cstheme="minorHAnsi"/>
          <w:sz w:val="24"/>
          <w:szCs w:val="24"/>
        </w:rPr>
        <w:t>If</w:t>
      </w:r>
      <w:proofErr w:type="gramEnd"/>
      <w:r>
        <w:rPr>
          <w:rFonts w:cstheme="minorHAnsi"/>
          <w:sz w:val="24"/>
          <w:szCs w:val="24"/>
        </w:rPr>
        <w:t xml:space="preserve"> land is acquired compulsorily under this Act, just compensation shall be paid promptly in full to all persons whose interests in the land have been determined.</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w:t>
      </w:r>
    </w:p>
    <w:p w:rsidR="00690735" w:rsidRDefault="00690735" w:rsidP="00690735">
      <w:pPr>
        <w:spacing w:after="0" w:line="240" w:lineRule="auto"/>
        <w:jc w:val="both"/>
        <w:rPr>
          <w:rFonts w:cstheme="minorHAnsi"/>
          <w:sz w:val="24"/>
          <w:szCs w:val="24"/>
        </w:rPr>
      </w:pPr>
      <w:proofErr w:type="spellStart"/>
      <w:r>
        <w:rPr>
          <w:rFonts w:cstheme="minorHAnsi"/>
          <w:sz w:val="24"/>
          <w:szCs w:val="24"/>
        </w:rPr>
        <w:lastRenderedPageBreak/>
        <w:t>Honourable</w:t>
      </w:r>
      <w:proofErr w:type="spellEnd"/>
      <w:r>
        <w:rPr>
          <w:rFonts w:cstheme="minorHAnsi"/>
          <w:sz w:val="24"/>
          <w:szCs w:val="24"/>
        </w:rPr>
        <w:t xml:space="preserve"> </w:t>
      </w:r>
      <w:proofErr w:type="spellStart"/>
      <w:r>
        <w:rPr>
          <w:rFonts w:cstheme="minorHAnsi"/>
          <w:sz w:val="24"/>
          <w:szCs w:val="24"/>
        </w:rPr>
        <w:t>Munyes</w:t>
      </w:r>
      <w:proofErr w:type="spellEnd"/>
      <w:r>
        <w:rPr>
          <w:rFonts w:cstheme="minorHAnsi"/>
          <w:sz w:val="24"/>
          <w:szCs w:val="24"/>
        </w:rPr>
        <w:t xml:space="preserve">, we urgently seek your assistance in addressing this matter, in your capacity as the Cabinet Secretary (Ministry of Petroleum and Mining), particularly in revoking the “Special Prospecting </w:t>
      </w:r>
      <w:proofErr w:type="spellStart"/>
      <w:r>
        <w:rPr>
          <w:rFonts w:cstheme="minorHAnsi"/>
          <w:sz w:val="24"/>
          <w:szCs w:val="24"/>
        </w:rPr>
        <w:t>Licence</w:t>
      </w:r>
      <w:proofErr w:type="spellEnd"/>
      <w:r>
        <w:rPr>
          <w:rFonts w:cstheme="minorHAnsi"/>
          <w:sz w:val="24"/>
          <w:szCs w:val="24"/>
        </w:rPr>
        <w:t>” (No. 173) irregularly issued to Base Titanium Ltd. on 26</w:t>
      </w:r>
      <w:r>
        <w:rPr>
          <w:rFonts w:cstheme="minorHAnsi"/>
          <w:sz w:val="24"/>
          <w:szCs w:val="24"/>
          <w:vertAlign w:val="superscript"/>
        </w:rPr>
        <w:t>th</w:t>
      </w:r>
      <w:r>
        <w:rPr>
          <w:rFonts w:cstheme="minorHAnsi"/>
          <w:sz w:val="24"/>
          <w:szCs w:val="24"/>
        </w:rPr>
        <w:t xml:space="preserve"> May 2016 under the </w:t>
      </w:r>
      <w:r>
        <w:rPr>
          <w:rFonts w:cstheme="minorHAnsi"/>
          <w:i/>
          <w:sz w:val="24"/>
          <w:szCs w:val="24"/>
        </w:rPr>
        <w:t>old</w:t>
      </w:r>
      <w:r>
        <w:rPr>
          <w:rFonts w:cstheme="minorHAnsi"/>
          <w:sz w:val="24"/>
          <w:szCs w:val="24"/>
        </w:rPr>
        <w:t xml:space="preserve"> Mining Act – </w:t>
      </w:r>
      <w:r>
        <w:rPr>
          <w:rFonts w:cstheme="minorHAnsi"/>
          <w:i/>
          <w:sz w:val="24"/>
          <w:szCs w:val="24"/>
        </w:rPr>
        <w:t xml:space="preserve">six days after the new Mining Act had been </w:t>
      </w:r>
      <w:proofErr w:type="spellStart"/>
      <w:r>
        <w:rPr>
          <w:rFonts w:cstheme="minorHAnsi"/>
          <w:i/>
          <w:sz w:val="24"/>
          <w:szCs w:val="24"/>
        </w:rPr>
        <w:t>gazetted</w:t>
      </w:r>
      <w:proofErr w:type="spellEnd"/>
      <w:r>
        <w:rPr>
          <w:rFonts w:cstheme="minorHAnsi"/>
          <w:i/>
          <w:sz w:val="24"/>
          <w:szCs w:val="24"/>
        </w:rPr>
        <w:t>, and a day before the new Mining Act came into effect</w:t>
      </w:r>
      <w:r>
        <w:rPr>
          <w:rFonts w:cstheme="minorHAnsi"/>
          <w:b/>
          <w:i/>
          <w:sz w:val="24"/>
          <w:szCs w:val="24"/>
        </w:rPr>
        <w:t xml:space="preserve"> </w:t>
      </w:r>
      <w:r>
        <w:rPr>
          <w:rFonts w:cstheme="minorHAnsi"/>
          <w:sz w:val="24"/>
          <w:szCs w:val="24"/>
        </w:rPr>
        <w:t xml:space="preserve">(Annex 1 – See pages 8 and 9).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Furthermore, the </w:t>
      </w:r>
      <w:r>
        <w:rPr>
          <w:rFonts w:cstheme="minorHAnsi"/>
          <w:i/>
          <w:sz w:val="24"/>
          <w:szCs w:val="24"/>
        </w:rPr>
        <w:t xml:space="preserve">prospecting activities that are presently being conducted by Base Titanium Ltd. in </w:t>
      </w:r>
      <w:proofErr w:type="spellStart"/>
      <w:r>
        <w:rPr>
          <w:rFonts w:cstheme="minorHAnsi"/>
          <w:i/>
          <w:sz w:val="24"/>
          <w:szCs w:val="24"/>
        </w:rPr>
        <w:t>Kwale</w:t>
      </w:r>
      <w:proofErr w:type="spellEnd"/>
      <w:r>
        <w:rPr>
          <w:rFonts w:cstheme="minorHAnsi"/>
          <w:i/>
          <w:sz w:val="24"/>
          <w:szCs w:val="24"/>
        </w:rPr>
        <w:t xml:space="preserve"> are contrary to the provisions of Section 36(2) of the new Mining Act (2016)</w:t>
      </w:r>
      <w:r>
        <w:rPr>
          <w:rFonts w:cstheme="minorHAnsi"/>
          <w:sz w:val="24"/>
          <w:szCs w:val="24"/>
        </w:rPr>
        <w:t>, which requires any applicant seeking a mineral right</w:t>
      </w:r>
      <w:r>
        <w:rPr>
          <w:rStyle w:val="FootnoteReference"/>
          <w:rFonts w:cstheme="minorHAnsi"/>
          <w:sz w:val="24"/>
          <w:szCs w:val="24"/>
        </w:rPr>
        <w:footnoteReference w:id="10"/>
      </w:r>
      <w:r>
        <w:rPr>
          <w:rFonts w:cstheme="minorHAnsi"/>
          <w:sz w:val="24"/>
          <w:szCs w:val="24"/>
        </w:rPr>
        <w:t xml:space="preserve"> </w:t>
      </w:r>
      <w:r>
        <w:rPr>
          <w:rFonts w:cstheme="minorHAnsi"/>
          <w:i/>
          <w:sz w:val="24"/>
          <w:szCs w:val="24"/>
        </w:rPr>
        <w:t>to seek</w:t>
      </w:r>
      <w:r>
        <w:rPr>
          <w:rFonts w:cstheme="minorHAnsi"/>
          <w:sz w:val="24"/>
          <w:szCs w:val="24"/>
        </w:rPr>
        <w:t xml:space="preserve"> – </w:t>
      </w:r>
    </w:p>
    <w:p w:rsidR="00690735" w:rsidRDefault="00690735" w:rsidP="00690735">
      <w:pPr>
        <w:spacing w:after="0" w:line="240" w:lineRule="auto"/>
        <w:jc w:val="both"/>
        <w:rPr>
          <w:rFonts w:cstheme="minorHAnsi"/>
          <w:sz w:val="24"/>
          <w:szCs w:val="24"/>
        </w:rPr>
      </w:pPr>
      <w:r>
        <w:rPr>
          <w:rFonts w:cstheme="minorHAnsi"/>
          <w:sz w:val="24"/>
          <w:szCs w:val="24"/>
        </w:rPr>
        <w:t xml:space="preserve"> </w:t>
      </w:r>
    </w:p>
    <w:p w:rsidR="00690735" w:rsidRDefault="00690735" w:rsidP="00690735">
      <w:pPr>
        <w:autoSpaceDE w:val="0"/>
        <w:autoSpaceDN w:val="0"/>
        <w:adjustRightInd w:val="0"/>
        <w:spacing w:after="0" w:line="240" w:lineRule="auto"/>
        <w:ind w:left="720"/>
        <w:jc w:val="both"/>
        <w:rPr>
          <w:rFonts w:cstheme="minorHAnsi"/>
          <w:sz w:val="24"/>
          <w:szCs w:val="24"/>
        </w:rPr>
      </w:pPr>
      <w:r>
        <w:rPr>
          <w:rFonts w:cstheme="minorHAnsi"/>
          <w:sz w:val="24"/>
          <w:szCs w:val="24"/>
        </w:rPr>
        <w:t xml:space="preserve">(h) </w:t>
      </w:r>
      <w:r>
        <w:rPr>
          <w:rFonts w:cstheme="minorHAnsi"/>
          <w:i/>
          <w:sz w:val="24"/>
          <w:szCs w:val="24"/>
        </w:rPr>
        <w:t>the approval of</w:t>
      </w:r>
      <w:r>
        <w:rPr>
          <w:rFonts w:cstheme="minorHAnsi"/>
          <w:sz w:val="24"/>
          <w:szCs w:val="24"/>
        </w:rPr>
        <w:t xml:space="preserve"> any other person who in the opinion of the Cabinet Secretary would otherwise be affected by the grant of a mineral right, who may include the owner of private land or </w:t>
      </w:r>
      <w:r>
        <w:rPr>
          <w:rFonts w:cstheme="minorHAnsi"/>
          <w:i/>
          <w:sz w:val="24"/>
          <w:szCs w:val="24"/>
        </w:rPr>
        <w:t>the community in occupation of the land.</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color w:val="000000"/>
          <w:sz w:val="24"/>
          <w:szCs w:val="24"/>
        </w:rPr>
      </w:pPr>
      <w:r>
        <w:rPr>
          <w:rFonts w:cstheme="minorHAnsi"/>
          <w:sz w:val="24"/>
          <w:szCs w:val="24"/>
        </w:rPr>
        <w:t xml:space="preserve">Pursuant to the above, we urge you to consider the aforementioned recommendations made by the </w:t>
      </w:r>
      <w:r>
        <w:rPr>
          <w:rFonts w:cstheme="minorHAnsi"/>
          <w:color w:val="000000"/>
          <w:sz w:val="24"/>
          <w:szCs w:val="24"/>
        </w:rPr>
        <w:t>Parliamentary Select Committee established in 1976, to investigate the issue of land ownership / historical injustices within Kenya’s Coastal strip (</w:t>
      </w:r>
      <w:proofErr w:type="spellStart"/>
      <w:r>
        <w:rPr>
          <w:rFonts w:cstheme="minorHAnsi"/>
          <w:i/>
          <w:color w:val="000000"/>
          <w:sz w:val="24"/>
          <w:szCs w:val="24"/>
        </w:rPr>
        <w:t>Mwambao</w:t>
      </w:r>
      <w:proofErr w:type="spellEnd"/>
      <w:r>
        <w:rPr>
          <w:rFonts w:cstheme="minorHAnsi"/>
          <w:color w:val="000000"/>
          <w:sz w:val="24"/>
          <w:szCs w:val="24"/>
        </w:rPr>
        <w:t xml:space="preserve">). To reiterate, these recommendations included: </w:t>
      </w:r>
    </w:p>
    <w:p w:rsidR="00690735" w:rsidRDefault="00690735" w:rsidP="00690735">
      <w:pPr>
        <w:spacing w:after="0" w:line="240" w:lineRule="auto"/>
        <w:jc w:val="both"/>
        <w:rPr>
          <w:rFonts w:cstheme="minorHAnsi"/>
          <w:color w:val="000000"/>
          <w:sz w:val="24"/>
          <w:szCs w:val="24"/>
        </w:rPr>
      </w:pPr>
    </w:p>
    <w:p w:rsidR="00690735" w:rsidRDefault="00690735" w:rsidP="00690735">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 xml:space="preserve">enfranchisement of actual occupiers / users of land; </w:t>
      </w:r>
    </w:p>
    <w:p w:rsidR="00690735" w:rsidRDefault="00690735" w:rsidP="00690735">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restitution of land where appropriate;</w:t>
      </w:r>
    </w:p>
    <w:p w:rsidR="00690735" w:rsidRDefault="00690735" w:rsidP="00690735">
      <w:pPr>
        <w:pStyle w:val="ListParagraph"/>
        <w:numPr>
          <w:ilvl w:val="0"/>
          <w:numId w:val="3"/>
        </w:numPr>
        <w:jc w:val="both"/>
        <w:rPr>
          <w:rFonts w:asciiTheme="minorHAnsi" w:hAnsiTheme="minorHAnsi" w:cstheme="minorHAnsi"/>
          <w:color w:val="000000"/>
        </w:rPr>
      </w:pPr>
      <w:r>
        <w:rPr>
          <w:rFonts w:asciiTheme="minorHAnsi" w:hAnsiTheme="minorHAnsi" w:cstheme="minorHAnsi"/>
          <w:color w:val="000000"/>
        </w:rPr>
        <w:t xml:space="preserve">compensation at market prices or reparations in respect of land lost either to the Arabs or the Government (colonial and Kenyan); and </w:t>
      </w:r>
    </w:p>
    <w:p w:rsidR="00690735" w:rsidRDefault="00690735" w:rsidP="00690735">
      <w:pPr>
        <w:pStyle w:val="ListParagraph"/>
        <w:numPr>
          <w:ilvl w:val="0"/>
          <w:numId w:val="3"/>
        </w:numPr>
        <w:jc w:val="both"/>
        <w:rPr>
          <w:rFonts w:asciiTheme="minorHAnsi" w:hAnsiTheme="minorHAnsi" w:cstheme="minorHAnsi"/>
          <w:color w:val="000000"/>
        </w:rPr>
      </w:pPr>
      <w:proofErr w:type="gramStart"/>
      <w:r>
        <w:rPr>
          <w:rFonts w:asciiTheme="minorHAnsi" w:hAnsiTheme="minorHAnsi" w:cstheme="minorHAnsi"/>
          <w:color w:val="000000"/>
        </w:rPr>
        <w:t>facilitation</w:t>
      </w:r>
      <w:proofErr w:type="gramEnd"/>
      <w:r>
        <w:rPr>
          <w:rFonts w:asciiTheme="minorHAnsi" w:hAnsiTheme="minorHAnsi" w:cstheme="minorHAnsi"/>
          <w:color w:val="000000"/>
        </w:rPr>
        <w:t xml:space="preserve"> of purchase by local communities of land held by absentee landlords.</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In the context of the titanium mining project, our grievances were recently aired by the Kenya Television Network (</w:t>
      </w:r>
      <w:hyperlink r:id="rId7" w:history="1">
        <w:r>
          <w:rPr>
            <w:rStyle w:val="Hyperlink"/>
            <w:rFonts w:cstheme="minorHAnsi"/>
            <w:sz w:val="24"/>
            <w:szCs w:val="24"/>
          </w:rPr>
          <w:t>https://youtu.be/Z0BVYPZm4A4</w:t>
        </w:r>
      </w:hyperlink>
      <w:r>
        <w:rPr>
          <w:rFonts w:cstheme="minorHAnsi"/>
          <w:sz w:val="24"/>
          <w:szCs w:val="24"/>
        </w:rPr>
        <w:t>) and Citizen TV (</w:t>
      </w:r>
      <w:hyperlink r:id="rId8" w:history="1">
        <w:r>
          <w:rPr>
            <w:rStyle w:val="Hyperlink"/>
            <w:rFonts w:cstheme="minorHAnsi"/>
            <w:sz w:val="24"/>
            <w:szCs w:val="24"/>
          </w:rPr>
          <w:t>https://citizentv.co.ke/news/wakazi-wa-vumba-kaunti-ya-kwale-walalamikia-vumbi-180988/</w:t>
        </w:r>
      </w:hyperlink>
      <w:r>
        <w:rPr>
          <w:rFonts w:cstheme="minorHAnsi"/>
          <w:sz w:val="24"/>
          <w:szCs w:val="24"/>
        </w:rPr>
        <w:t xml:space="preserv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In addition, we wish to share the following video, which was taken at one of our meetings: </w:t>
      </w:r>
      <w:hyperlink r:id="rId9" w:history="1">
        <w:r>
          <w:rPr>
            <w:rStyle w:val="Hyperlink"/>
            <w:rFonts w:cstheme="minorHAnsi"/>
            <w:sz w:val="24"/>
            <w:szCs w:val="24"/>
          </w:rPr>
          <w:t>https://m.youtube.com/watch?v=znk_i</w:t>
        </w:r>
        <w:r>
          <w:rPr>
            <w:rStyle w:val="Hyperlink"/>
            <w:rFonts w:cstheme="minorHAnsi"/>
            <w:sz w:val="24"/>
            <w:szCs w:val="24"/>
          </w:rPr>
          <w:softHyphen/>
        </w:r>
      </w:hyperlink>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Thank you. Most Sincerely,</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The communities of </w:t>
      </w:r>
      <w:proofErr w:type="spellStart"/>
      <w:r>
        <w:rPr>
          <w:rFonts w:cstheme="minorHAnsi"/>
          <w:i/>
          <w:sz w:val="24"/>
          <w:szCs w:val="24"/>
        </w:rPr>
        <w:t>Gazi</w:t>
      </w:r>
      <w:proofErr w:type="spellEnd"/>
      <w:r>
        <w:rPr>
          <w:rFonts w:cstheme="minorHAnsi"/>
          <w:i/>
          <w:sz w:val="24"/>
          <w:szCs w:val="24"/>
        </w:rPr>
        <w:t xml:space="preserve">, </w:t>
      </w:r>
      <w:proofErr w:type="spellStart"/>
      <w:r>
        <w:rPr>
          <w:rFonts w:cstheme="minorHAnsi"/>
          <w:i/>
          <w:sz w:val="24"/>
          <w:szCs w:val="24"/>
        </w:rPr>
        <w:t>Vumbu</w:t>
      </w:r>
      <w:proofErr w:type="spellEnd"/>
      <w:r>
        <w:rPr>
          <w:rFonts w:cstheme="minorHAnsi"/>
          <w:i/>
          <w:sz w:val="24"/>
          <w:szCs w:val="24"/>
        </w:rPr>
        <w:t xml:space="preserve">, </w:t>
      </w:r>
      <w:proofErr w:type="spellStart"/>
      <w:r>
        <w:rPr>
          <w:rFonts w:cstheme="minorHAnsi"/>
          <w:i/>
          <w:sz w:val="24"/>
          <w:szCs w:val="24"/>
        </w:rPr>
        <w:t>Maumba</w:t>
      </w:r>
      <w:proofErr w:type="spellEnd"/>
      <w:r>
        <w:rPr>
          <w:rFonts w:cstheme="minorHAnsi"/>
          <w:i/>
          <w:sz w:val="24"/>
          <w:szCs w:val="24"/>
        </w:rPr>
        <w:t xml:space="preserve">, </w:t>
      </w:r>
      <w:proofErr w:type="spellStart"/>
      <w:r>
        <w:rPr>
          <w:rFonts w:cstheme="minorHAnsi"/>
          <w:i/>
          <w:sz w:val="24"/>
          <w:szCs w:val="24"/>
        </w:rPr>
        <w:t>Magaoni</w:t>
      </w:r>
      <w:proofErr w:type="spellEnd"/>
      <w:r>
        <w:rPr>
          <w:rFonts w:cstheme="minorHAnsi"/>
          <w:i/>
          <w:sz w:val="24"/>
          <w:szCs w:val="24"/>
        </w:rPr>
        <w:t xml:space="preserve">, </w:t>
      </w:r>
      <w:proofErr w:type="spellStart"/>
      <w:r>
        <w:rPr>
          <w:rFonts w:cstheme="minorHAnsi"/>
          <w:i/>
          <w:sz w:val="24"/>
          <w:szCs w:val="24"/>
        </w:rPr>
        <w:t>Fihoni</w:t>
      </w:r>
      <w:proofErr w:type="spellEnd"/>
      <w:r>
        <w:rPr>
          <w:rFonts w:cstheme="minorHAnsi"/>
          <w:i/>
          <w:sz w:val="24"/>
          <w:szCs w:val="24"/>
        </w:rPr>
        <w:t xml:space="preserve">, </w:t>
      </w:r>
      <w:proofErr w:type="spellStart"/>
      <w:r>
        <w:rPr>
          <w:rFonts w:cstheme="minorHAnsi"/>
          <w:i/>
          <w:sz w:val="24"/>
          <w:szCs w:val="24"/>
        </w:rPr>
        <w:t>Majikuko</w:t>
      </w:r>
      <w:proofErr w:type="spellEnd"/>
      <w:r>
        <w:rPr>
          <w:rFonts w:cstheme="minorHAnsi"/>
          <w:i/>
          <w:sz w:val="24"/>
          <w:szCs w:val="24"/>
        </w:rPr>
        <w:t xml:space="preserve">, </w:t>
      </w:r>
      <w:proofErr w:type="spellStart"/>
      <w:r>
        <w:rPr>
          <w:rFonts w:cstheme="minorHAnsi"/>
          <w:i/>
          <w:sz w:val="24"/>
          <w:szCs w:val="24"/>
        </w:rPr>
        <w:t>Mwaloya</w:t>
      </w:r>
      <w:proofErr w:type="spellEnd"/>
      <w:r>
        <w:rPr>
          <w:rFonts w:cstheme="minorHAnsi"/>
          <w:i/>
          <w:sz w:val="24"/>
          <w:szCs w:val="24"/>
        </w:rPr>
        <w:t xml:space="preserve">, </w:t>
      </w:r>
      <w:proofErr w:type="spellStart"/>
      <w:r>
        <w:rPr>
          <w:rFonts w:cstheme="minorHAnsi"/>
          <w:i/>
          <w:sz w:val="24"/>
          <w:szCs w:val="24"/>
        </w:rPr>
        <w:t>Bumamani</w:t>
      </w:r>
      <w:proofErr w:type="spellEnd"/>
      <w:r>
        <w:rPr>
          <w:rFonts w:cstheme="minorHAnsi"/>
          <w:i/>
          <w:sz w:val="24"/>
          <w:szCs w:val="24"/>
        </w:rPr>
        <w:t xml:space="preserve">, </w:t>
      </w:r>
      <w:proofErr w:type="spellStart"/>
      <w:r>
        <w:rPr>
          <w:rFonts w:cstheme="minorHAnsi"/>
          <w:i/>
          <w:sz w:val="24"/>
          <w:szCs w:val="24"/>
        </w:rPr>
        <w:t>Madongoni</w:t>
      </w:r>
      <w:proofErr w:type="spellEnd"/>
      <w:r>
        <w:rPr>
          <w:rFonts w:cstheme="minorHAnsi"/>
          <w:i/>
          <w:sz w:val="24"/>
          <w:szCs w:val="24"/>
        </w:rPr>
        <w:t xml:space="preserve">, </w:t>
      </w:r>
      <w:proofErr w:type="spellStart"/>
      <w:r>
        <w:rPr>
          <w:rFonts w:cstheme="minorHAnsi"/>
          <w:i/>
          <w:sz w:val="24"/>
          <w:szCs w:val="24"/>
        </w:rPr>
        <w:t>Masindeni</w:t>
      </w:r>
      <w:proofErr w:type="spellEnd"/>
      <w:r>
        <w:rPr>
          <w:rFonts w:cstheme="minorHAnsi"/>
          <w:i/>
          <w:sz w:val="24"/>
          <w:szCs w:val="24"/>
        </w:rPr>
        <w:t xml:space="preserve">, </w:t>
      </w:r>
      <w:proofErr w:type="spellStart"/>
      <w:r>
        <w:rPr>
          <w:rFonts w:cstheme="minorHAnsi"/>
          <w:i/>
          <w:sz w:val="24"/>
          <w:szCs w:val="24"/>
        </w:rPr>
        <w:t>Mwandimu</w:t>
      </w:r>
      <w:proofErr w:type="spellEnd"/>
      <w:r>
        <w:rPr>
          <w:rFonts w:cstheme="minorHAnsi"/>
          <w:i/>
          <w:sz w:val="24"/>
          <w:szCs w:val="24"/>
        </w:rPr>
        <w:t xml:space="preserve">, and </w:t>
      </w:r>
      <w:proofErr w:type="spellStart"/>
      <w:r>
        <w:rPr>
          <w:rFonts w:cstheme="minorHAnsi"/>
          <w:i/>
          <w:sz w:val="24"/>
          <w:szCs w:val="24"/>
        </w:rPr>
        <w:t>Zigira</w:t>
      </w:r>
      <w:proofErr w:type="spellEnd"/>
      <w:r>
        <w:rPr>
          <w:rFonts w:cstheme="minorHAnsi"/>
          <w:sz w:val="24"/>
          <w:szCs w:val="24"/>
        </w:rPr>
        <w:t>.</w:t>
      </w:r>
    </w:p>
    <w:p w:rsidR="00690735" w:rsidRDefault="00690735" w:rsidP="00690735">
      <w:pPr>
        <w:spacing w:after="0" w:line="240" w:lineRule="auto"/>
        <w:jc w:val="both"/>
        <w:rPr>
          <w:rFonts w:cstheme="minorHAnsi"/>
          <w:sz w:val="24"/>
          <w:szCs w:val="24"/>
          <w:u w:val="single"/>
        </w:rPr>
      </w:pPr>
    </w:p>
    <w:p w:rsidR="00690735" w:rsidRDefault="00690735" w:rsidP="00690735">
      <w:pPr>
        <w:spacing w:after="0" w:line="240" w:lineRule="auto"/>
        <w:jc w:val="both"/>
        <w:rPr>
          <w:rFonts w:cstheme="minorHAnsi"/>
          <w:sz w:val="24"/>
          <w:szCs w:val="24"/>
          <w:u w:val="single"/>
        </w:rPr>
      </w:pPr>
      <w:r>
        <w:rPr>
          <w:rFonts w:cstheme="minorHAnsi"/>
          <w:sz w:val="24"/>
          <w:szCs w:val="24"/>
          <w:u w:val="single"/>
        </w:rPr>
        <w:t>Represented by:</w:t>
      </w:r>
    </w:p>
    <w:p w:rsidR="00690735" w:rsidRDefault="00690735" w:rsidP="00690735">
      <w:pPr>
        <w:spacing w:after="0" w:line="240" w:lineRule="auto"/>
        <w:jc w:val="both"/>
        <w:rPr>
          <w:rFonts w:cstheme="minorHAnsi"/>
          <w:sz w:val="24"/>
          <w:szCs w:val="24"/>
          <w:u w:val="single"/>
        </w:rPr>
      </w:pPr>
    </w:p>
    <w:p w:rsidR="00690735" w:rsidRDefault="00690735" w:rsidP="00690735">
      <w:pPr>
        <w:spacing w:after="0" w:line="240" w:lineRule="auto"/>
        <w:jc w:val="both"/>
        <w:rPr>
          <w:rFonts w:eastAsia="Calibri" w:cstheme="minorHAnsi"/>
          <w:sz w:val="24"/>
          <w:szCs w:val="24"/>
        </w:rPr>
      </w:pPr>
      <w:proofErr w:type="spellStart"/>
      <w:r>
        <w:rPr>
          <w:rFonts w:eastAsia="Calibri" w:cstheme="minorHAnsi"/>
          <w:sz w:val="24"/>
          <w:szCs w:val="24"/>
        </w:rPr>
        <w:t>Mzee</w:t>
      </w:r>
      <w:proofErr w:type="spellEnd"/>
      <w:r>
        <w:rPr>
          <w:rFonts w:eastAsia="Calibri" w:cstheme="minorHAnsi"/>
          <w:sz w:val="24"/>
          <w:szCs w:val="24"/>
        </w:rPr>
        <w:t xml:space="preserve"> Omari </w:t>
      </w:r>
      <w:proofErr w:type="spellStart"/>
      <w:r>
        <w:rPr>
          <w:rFonts w:eastAsia="Calibri" w:cstheme="minorHAnsi"/>
          <w:sz w:val="24"/>
          <w:szCs w:val="24"/>
        </w:rPr>
        <w:t>Shee</w:t>
      </w:r>
      <w:proofErr w:type="spellEnd"/>
      <w:r>
        <w:rPr>
          <w:rFonts w:eastAsia="Calibri" w:cstheme="minorHAnsi"/>
          <w:sz w:val="24"/>
          <w:szCs w:val="24"/>
        </w:rPr>
        <w:t xml:space="preserve"> </w:t>
      </w:r>
      <w:proofErr w:type="spellStart"/>
      <w:r>
        <w:rPr>
          <w:rFonts w:eastAsia="Calibri" w:cstheme="minorHAnsi"/>
          <w:sz w:val="24"/>
          <w:szCs w:val="24"/>
        </w:rPr>
        <w:t>Mbega</w:t>
      </w:r>
      <w:proofErr w:type="spellEnd"/>
    </w:p>
    <w:p w:rsidR="00690735" w:rsidRDefault="00690735" w:rsidP="00690735">
      <w:pPr>
        <w:spacing w:after="0" w:line="240" w:lineRule="auto"/>
        <w:jc w:val="both"/>
        <w:rPr>
          <w:rFonts w:cstheme="minorHAnsi"/>
          <w:sz w:val="24"/>
          <w:szCs w:val="24"/>
        </w:rPr>
      </w:pPr>
      <w:r>
        <w:rPr>
          <w:rFonts w:eastAsia="Calibri" w:cstheme="minorHAnsi"/>
          <w:sz w:val="24"/>
          <w:szCs w:val="24"/>
        </w:rPr>
        <w:t xml:space="preserve">Chairman, </w:t>
      </w:r>
      <w:r>
        <w:rPr>
          <w:rFonts w:cstheme="minorHAnsi"/>
          <w:sz w:val="24"/>
          <w:szCs w:val="24"/>
        </w:rPr>
        <w:t xml:space="preserve">Committee of </w:t>
      </w:r>
      <w:proofErr w:type="spellStart"/>
      <w:r>
        <w:rPr>
          <w:rFonts w:cstheme="minorHAnsi"/>
          <w:sz w:val="24"/>
          <w:szCs w:val="24"/>
        </w:rPr>
        <w:t>Gazi</w:t>
      </w:r>
      <w:proofErr w:type="spellEnd"/>
      <w:r>
        <w:rPr>
          <w:rFonts w:cstheme="minorHAnsi"/>
          <w:sz w:val="24"/>
          <w:szCs w:val="24"/>
        </w:rPr>
        <w:t xml:space="preserve"> Location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r>
        <w:rPr>
          <w:rFonts w:cstheme="minorHAnsi"/>
          <w:sz w:val="24"/>
          <w:szCs w:val="24"/>
        </w:rPr>
        <w:t xml:space="preserve">Contact email: </w:t>
      </w:r>
      <w:hyperlink r:id="rId10" w:history="1">
        <w:r>
          <w:rPr>
            <w:rStyle w:val="Hyperlink"/>
            <w:rFonts w:cstheme="minorHAnsi"/>
            <w:sz w:val="24"/>
            <w:szCs w:val="24"/>
          </w:rPr>
          <w:t>wanyeekinuthia@gmail.com</w:t>
        </w:r>
      </w:hyperlink>
      <w:r>
        <w:rPr>
          <w:rFonts w:cstheme="minorHAnsi"/>
          <w:sz w:val="24"/>
          <w:szCs w:val="24"/>
        </w:rPr>
        <w:t xml:space="preserve"> </w:t>
      </w:r>
    </w:p>
    <w:p w:rsidR="00690735" w:rsidRDefault="00690735" w:rsidP="00690735">
      <w:pPr>
        <w:spacing w:after="0" w:line="240" w:lineRule="auto"/>
        <w:jc w:val="both"/>
        <w:rPr>
          <w:rFonts w:cstheme="minorHAnsi"/>
          <w:sz w:val="24"/>
          <w:szCs w:val="24"/>
        </w:rPr>
      </w:pPr>
    </w:p>
    <w:p w:rsidR="00690735" w:rsidRDefault="00690735" w:rsidP="00690735">
      <w:pPr>
        <w:spacing w:after="0" w:line="240" w:lineRule="auto"/>
        <w:jc w:val="both"/>
        <w:rPr>
          <w:rFonts w:cstheme="minorHAnsi"/>
          <w:sz w:val="24"/>
          <w:szCs w:val="24"/>
        </w:rPr>
      </w:pPr>
      <w:proofErr w:type="spellStart"/>
      <w:r>
        <w:rPr>
          <w:rFonts w:cstheme="minorHAnsi"/>
          <w:sz w:val="24"/>
          <w:szCs w:val="24"/>
        </w:rPr>
        <w:lastRenderedPageBreak/>
        <w:t>C.c</w:t>
      </w:r>
      <w:proofErr w:type="spellEnd"/>
      <w:r>
        <w:rPr>
          <w:rFonts w:cstheme="minorHAnsi"/>
          <w:sz w:val="24"/>
          <w:szCs w:val="24"/>
        </w:rPr>
        <w:t xml:space="preserve">: Hon. Uhuru M. Kenyatta (President, Republic of Kenya) </w:t>
      </w:r>
    </w:p>
    <w:p w:rsidR="00690735" w:rsidRDefault="00690735" w:rsidP="00690735">
      <w:pPr>
        <w:spacing w:after="0" w:line="240" w:lineRule="auto"/>
        <w:jc w:val="both"/>
        <w:rPr>
          <w:rFonts w:cstheme="minorHAnsi"/>
          <w:sz w:val="24"/>
          <w:szCs w:val="24"/>
        </w:rPr>
      </w:pPr>
      <w:r>
        <w:rPr>
          <w:rFonts w:cstheme="minorHAnsi"/>
          <w:sz w:val="24"/>
          <w:szCs w:val="24"/>
        </w:rPr>
        <w:t xml:space="preserve">       Hon. William S. </w:t>
      </w:r>
      <w:proofErr w:type="spellStart"/>
      <w:r>
        <w:rPr>
          <w:rFonts w:cstheme="minorHAnsi"/>
          <w:sz w:val="24"/>
          <w:szCs w:val="24"/>
        </w:rPr>
        <w:t>Ruto</w:t>
      </w:r>
      <w:proofErr w:type="spellEnd"/>
      <w:r>
        <w:rPr>
          <w:rFonts w:cstheme="minorHAnsi"/>
          <w:sz w:val="24"/>
          <w:szCs w:val="24"/>
        </w:rPr>
        <w:t xml:space="preserve"> (Deputy President, Republic of Kenya)</w:t>
      </w:r>
    </w:p>
    <w:p w:rsidR="00690735" w:rsidRDefault="00690735" w:rsidP="00690735">
      <w:pPr>
        <w:spacing w:after="0" w:line="240" w:lineRule="auto"/>
        <w:jc w:val="both"/>
        <w:rPr>
          <w:rFonts w:cstheme="minorHAnsi"/>
          <w:sz w:val="24"/>
          <w:szCs w:val="24"/>
        </w:rPr>
      </w:pPr>
      <w:r>
        <w:rPr>
          <w:rFonts w:cstheme="minorHAnsi"/>
          <w:sz w:val="24"/>
          <w:szCs w:val="24"/>
        </w:rPr>
        <w:t xml:space="preserve">       Hon. Salim </w:t>
      </w:r>
      <w:proofErr w:type="spellStart"/>
      <w:r>
        <w:rPr>
          <w:rFonts w:cstheme="minorHAnsi"/>
          <w:sz w:val="24"/>
          <w:szCs w:val="24"/>
        </w:rPr>
        <w:t>Mvurya</w:t>
      </w:r>
      <w:proofErr w:type="spellEnd"/>
      <w:r>
        <w:rPr>
          <w:rFonts w:cstheme="minorHAnsi"/>
          <w:sz w:val="24"/>
          <w:szCs w:val="24"/>
        </w:rPr>
        <w:t xml:space="preserve"> (Governor, </w:t>
      </w:r>
      <w:proofErr w:type="spellStart"/>
      <w:r>
        <w:rPr>
          <w:rFonts w:cstheme="minorHAnsi"/>
          <w:sz w:val="24"/>
          <w:szCs w:val="24"/>
        </w:rPr>
        <w:t>Kwale</w:t>
      </w:r>
      <w:proofErr w:type="spellEnd"/>
      <w:r>
        <w:rPr>
          <w:rFonts w:cstheme="minorHAnsi"/>
          <w:sz w:val="24"/>
          <w:szCs w:val="24"/>
        </w:rPr>
        <w:t xml:space="preserve"> County)</w:t>
      </w:r>
    </w:p>
    <w:p w:rsidR="00690735" w:rsidRDefault="00690735" w:rsidP="00690735">
      <w:pPr>
        <w:spacing w:after="0" w:line="240" w:lineRule="auto"/>
        <w:jc w:val="both"/>
        <w:rPr>
          <w:rFonts w:cstheme="minorHAnsi"/>
          <w:sz w:val="24"/>
          <w:szCs w:val="24"/>
        </w:rPr>
      </w:pPr>
      <w:r>
        <w:rPr>
          <w:rFonts w:cstheme="minorHAnsi"/>
          <w:sz w:val="24"/>
          <w:szCs w:val="24"/>
        </w:rPr>
        <w:t xml:space="preserve">       Hon. </w:t>
      </w:r>
      <w:proofErr w:type="spellStart"/>
      <w:r>
        <w:rPr>
          <w:rFonts w:cstheme="minorHAnsi"/>
          <w:sz w:val="24"/>
          <w:szCs w:val="24"/>
        </w:rPr>
        <w:t>Fatuma</w:t>
      </w:r>
      <w:proofErr w:type="spellEnd"/>
      <w:r>
        <w:rPr>
          <w:rFonts w:cstheme="minorHAnsi"/>
          <w:sz w:val="24"/>
          <w:szCs w:val="24"/>
        </w:rPr>
        <w:t xml:space="preserve"> Mohamed </w:t>
      </w:r>
      <w:proofErr w:type="spellStart"/>
      <w:r>
        <w:rPr>
          <w:rFonts w:cstheme="minorHAnsi"/>
          <w:sz w:val="24"/>
          <w:szCs w:val="24"/>
        </w:rPr>
        <w:t>Achani</w:t>
      </w:r>
      <w:proofErr w:type="spellEnd"/>
      <w:r>
        <w:rPr>
          <w:rFonts w:cstheme="minorHAnsi"/>
          <w:sz w:val="24"/>
          <w:szCs w:val="24"/>
        </w:rPr>
        <w:t xml:space="preserve"> (Deputy Governor, </w:t>
      </w:r>
      <w:proofErr w:type="spellStart"/>
      <w:r>
        <w:rPr>
          <w:rFonts w:cstheme="minorHAnsi"/>
          <w:sz w:val="24"/>
          <w:szCs w:val="24"/>
        </w:rPr>
        <w:t>Kwale</w:t>
      </w:r>
      <w:proofErr w:type="spellEnd"/>
      <w:r>
        <w:rPr>
          <w:rFonts w:cstheme="minorHAnsi"/>
          <w:sz w:val="24"/>
          <w:szCs w:val="24"/>
        </w:rPr>
        <w:t xml:space="preserve"> County)</w:t>
      </w:r>
    </w:p>
    <w:p w:rsidR="00690735" w:rsidRDefault="00690735" w:rsidP="00690735">
      <w:pPr>
        <w:spacing w:after="0" w:line="240" w:lineRule="auto"/>
        <w:jc w:val="both"/>
        <w:rPr>
          <w:rFonts w:cstheme="minorHAnsi"/>
          <w:sz w:val="24"/>
          <w:szCs w:val="24"/>
        </w:rPr>
      </w:pPr>
      <w:r>
        <w:rPr>
          <w:rFonts w:cstheme="minorHAnsi"/>
          <w:sz w:val="24"/>
          <w:szCs w:val="24"/>
        </w:rPr>
        <w:t xml:space="preserve">       Hon. </w:t>
      </w:r>
      <w:proofErr w:type="spellStart"/>
      <w:r>
        <w:rPr>
          <w:rFonts w:cstheme="minorHAnsi"/>
          <w:sz w:val="24"/>
          <w:szCs w:val="24"/>
        </w:rPr>
        <w:t>Issa</w:t>
      </w:r>
      <w:proofErr w:type="spellEnd"/>
      <w:r>
        <w:rPr>
          <w:rFonts w:cstheme="minorHAnsi"/>
          <w:sz w:val="24"/>
          <w:szCs w:val="24"/>
        </w:rPr>
        <w:t xml:space="preserve"> </w:t>
      </w:r>
      <w:proofErr w:type="spellStart"/>
      <w:r>
        <w:rPr>
          <w:rFonts w:cstheme="minorHAnsi"/>
          <w:sz w:val="24"/>
          <w:szCs w:val="24"/>
        </w:rPr>
        <w:t>Juma</w:t>
      </w:r>
      <w:proofErr w:type="spellEnd"/>
      <w:r>
        <w:rPr>
          <w:rFonts w:cstheme="minorHAnsi"/>
          <w:sz w:val="24"/>
          <w:szCs w:val="24"/>
        </w:rPr>
        <w:t xml:space="preserve"> Boy (Senator, </w:t>
      </w:r>
      <w:proofErr w:type="spellStart"/>
      <w:r>
        <w:rPr>
          <w:rFonts w:cstheme="minorHAnsi"/>
          <w:sz w:val="24"/>
          <w:szCs w:val="24"/>
        </w:rPr>
        <w:t>Kwale</w:t>
      </w:r>
      <w:proofErr w:type="spellEnd"/>
      <w:r>
        <w:rPr>
          <w:rFonts w:cstheme="minorHAnsi"/>
          <w:sz w:val="24"/>
          <w:szCs w:val="24"/>
        </w:rPr>
        <w:t xml:space="preserve"> County)</w:t>
      </w:r>
    </w:p>
    <w:p w:rsidR="00690735" w:rsidRDefault="00690735" w:rsidP="00690735">
      <w:pPr>
        <w:spacing w:after="0" w:line="240" w:lineRule="auto"/>
        <w:jc w:val="both"/>
        <w:rPr>
          <w:rFonts w:cstheme="minorHAnsi"/>
          <w:sz w:val="24"/>
          <w:szCs w:val="24"/>
        </w:rPr>
      </w:pPr>
      <w:r>
        <w:rPr>
          <w:rFonts w:cstheme="minorHAnsi"/>
          <w:sz w:val="24"/>
          <w:szCs w:val="24"/>
        </w:rPr>
        <w:t xml:space="preserve">       Hon. Suleiman Dori (Member of Parliament, </w:t>
      </w:r>
      <w:proofErr w:type="spellStart"/>
      <w:r>
        <w:rPr>
          <w:rFonts w:cstheme="minorHAnsi"/>
          <w:sz w:val="24"/>
          <w:szCs w:val="24"/>
        </w:rPr>
        <w:t>Msambweni</w:t>
      </w:r>
      <w:proofErr w:type="spellEnd"/>
      <w:r>
        <w:rPr>
          <w:rFonts w:cstheme="minorHAnsi"/>
          <w:sz w:val="24"/>
          <w:szCs w:val="24"/>
        </w:rPr>
        <w:t xml:space="preserve"> Sub-County, </w:t>
      </w:r>
      <w:proofErr w:type="spellStart"/>
      <w:r>
        <w:rPr>
          <w:rFonts w:cstheme="minorHAnsi"/>
          <w:sz w:val="24"/>
          <w:szCs w:val="24"/>
        </w:rPr>
        <w:t>Kwale</w:t>
      </w:r>
      <w:proofErr w:type="spellEnd"/>
      <w:r>
        <w:rPr>
          <w:rFonts w:cstheme="minorHAnsi"/>
          <w:sz w:val="24"/>
          <w:szCs w:val="24"/>
        </w:rPr>
        <w:t xml:space="preserve"> County)</w:t>
      </w:r>
    </w:p>
    <w:p w:rsidR="00690735" w:rsidRDefault="00690735" w:rsidP="00690735">
      <w:pPr>
        <w:spacing w:after="0" w:line="240" w:lineRule="auto"/>
        <w:jc w:val="both"/>
        <w:rPr>
          <w:rFonts w:cstheme="minorHAnsi"/>
          <w:sz w:val="24"/>
          <w:szCs w:val="24"/>
        </w:rPr>
      </w:pPr>
      <w:r>
        <w:rPr>
          <w:rFonts w:cstheme="minorHAnsi"/>
          <w:sz w:val="24"/>
          <w:szCs w:val="24"/>
        </w:rPr>
        <w:t xml:space="preserve">       </w:t>
      </w:r>
      <w:proofErr w:type="spellStart"/>
      <w:r>
        <w:rPr>
          <w:rFonts w:cstheme="minorHAnsi"/>
          <w:sz w:val="24"/>
          <w:szCs w:val="24"/>
        </w:rPr>
        <w:t>Kwale</w:t>
      </w:r>
      <w:proofErr w:type="spellEnd"/>
      <w:r>
        <w:rPr>
          <w:rFonts w:cstheme="minorHAnsi"/>
          <w:sz w:val="24"/>
          <w:szCs w:val="24"/>
        </w:rPr>
        <w:t xml:space="preserve"> County Commissioner </w:t>
      </w:r>
    </w:p>
    <w:p w:rsidR="00690735" w:rsidRDefault="00690735" w:rsidP="00690735">
      <w:pPr>
        <w:spacing w:after="0" w:line="240" w:lineRule="auto"/>
        <w:jc w:val="both"/>
        <w:rPr>
          <w:rFonts w:cstheme="minorHAnsi"/>
          <w:sz w:val="24"/>
          <w:szCs w:val="24"/>
        </w:rPr>
      </w:pPr>
      <w:r>
        <w:rPr>
          <w:rFonts w:cstheme="minorHAnsi"/>
          <w:sz w:val="24"/>
          <w:szCs w:val="24"/>
        </w:rPr>
        <w:t xml:space="preserve">       </w:t>
      </w:r>
      <w:proofErr w:type="spellStart"/>
      <w:r>
        <w:rPr>
          <w:rFonts w:cstheme="minorHAnsi"/>
          <w:sz w:val="24"/>
          <w:szCs w:val="24"/>
        </w:rPr>
        <w:t>Msambweni</w:t>
      </w:r>
      <w:proofErr w:type="spellEnd"/>
      <w:r>
        <w:rPr>
          <w:rFonts w:cstheme="minorHAnsi"/>
          <w:sz w:val="24"/>
          <w:szCs w:val="24"/>
        </w:rPr>
        <w:t xml:space="preserve"> Sub-County Commissioner</w:t>
      </w:r>
    </w:p>
    <w:p w:rsidR="00690735" w:rsidRDefault="00690735" w:rsidP="00690735">
      <w:pPr>
        <w:spacing w:after="0" w:line="240" w:lineRule="auto"/>
        <w:jc w:val="both"/>
        <w:rPr>
          <w:rFonts w:cstheme="minorHAnsi"/>
          <w:sz w:val="24"/>
          <w:szCs w:val="24"/>
        </w:rPr>
      </w:pPr>
      <w:r>
        <w:rPr>
          <w:rFonts w:cstheme="minorHAnsi"/>
          <w:sz w:val="24"/>
          <w:szCs w:val="24"/>
        </w:rPr>
        <w:t xml:space="preserve">       Mr. Keith Spence (Non-Executive Chairman, Base Resources Ltd., Australia)</w:t>
      </w:r>
    </w:p>
    <w:p w:rsidR="00690735" w:rsidRDefault="00690735" w:rsidP="00690735">
      <w:pPr>
        <w:spacing w:after="0" w:line="240" w:lineRule="auto"/>
        <w:jc w:val="both"/>
        <w:rPr>
          <w:rFonts w:cstheme="minorHAnsi"/>
          <w:sz w:val="24"/>
          <w:szCs w:val="24"/>
        </w:rPr>
      </w:pPr>
      <w:r>
        <w:rPr>
          <w:rFonts w:cstheme="minorHAnsi"/>
          <w:sz w:val="24"/>
          <w:szCs w:val="24"/>
        </w:rPr>
        <w:t xml:space="preserve">       Mr. Tim </w:t>
      </w:r>
      <w:proofErr w:type="spellStart"/>
      <w:r>
        <w:rPr>
          <w:rFonts w:cstheme="minorHAnsi"/>
          <w:sz w:val="24"/>
          <w:szCs w:val="24"/>
        </w:rPr>
        <w:t>Carstens</w:t>
      </w:r>
      <w:proofErr w:type="spellEnd"/>
      <w:r>
        <w:rPr>
          <w:rFonts w:cstheme="minorHAnsi"/>
          <w:sz w:val="24"/>
          <w:szCs w:val="24"/>
        </w:rPr>
        <w:t xml:space="preserve"> (Managing Director, Base Resources Ltd.)</w:t>
      </w:r>
    </w:p>
    <w:p w:rsidR="00690735" w:rsidRDefault="00690735" w:rsidP="00690735">
      <w:pPr>
        <w:spacing w:after="0" w:line="240" w:lineRule="auto"/>
        <w:jc w:val="both"/>
        <w:rPr>
          <w:rFonts w:cstheme="minorHAnsi"/>
          <w:sz w:val="24"/>
          <w:szCs w:val="24"/>
        </w:rPr>
      </w:pPr>
      <w:r>
        <w:rPr>
          <w:rFonts w:cstheme="minorHAnsi"/>
          <w:sz w:val="24"/>
          <w:szCs w:val="24"/>
        </w:rPr>
        <w:t xml:space="preserve">       Mr. Colin </w:t>
      </w:r>
      <w:proofErr w:type="spellStart"/>
      <w:r>
        <w:rPr>
          <w:rFonts w:cstheme="minorHAnsi"/>
          <w:sz w:val="24"/>
          <w:szCs w:val="24"/>
        </w:rPr>
        <w:t>Bwye</w:t>
      </w:r>
      <w:proofErr w:type="spellEnd"/>
      <w:r>
        <w:rPr>
          <w:rFonts w:cstheme="minorHAnsi"/>
          <w:sz w:val="24"/>
          <w:szCs w:val="24"/>
        </w:rPr>
        <w:t xml:space="preserve"> (Executive Director, Operations &amp; Development, Base Resources Ltd.)</w:t>
      </w:r>
    </w:p>
    <w:p w:rsidR="00690735" w:rsidRDefault="00690735" w:rsidP="00690735">
      <w:pPr>
        <w:spacing w:after="0" w:line="240" w:lineRule="auto"/>
        <w:jc w:val="both"/>
        <w:rPr>
          <w:rFonts w:cstheme="minorHAnsi"/>
          <w:sz w:val="24"/>
          <w:szCs w:val="24"/>
        </w:rPr>
      </w:pPr>
      <w:r>
        <w:rPr>
          <w:rFonts w:cstheme="minorHAnsi"/>
          <w:sz w:val="24"/>
          <w:szCs w:val="24"/>
        </w:rPr>
        <w:t xml:space="preserve">       Mr. Sam Willis (Non-Executive Director, Base Resources Ltd.) </w:t>
      </w:r>
    </w:p>
    <w:p w:rsidR="00690735" w:rsidRDefault="00690735" w:rsidP="00690735">
      <w:pPr>
        <w:spacing w:after="0" w:line="240" w:lineRule="auto"/>
        <w:jc w:val="both"/>
        <w:rPr>
          <w:rFonts w:cstheme="minorHAnsi"/>
          <w:sz w:val="24"/>
          <w:szCs w:val="24"/>
        </w:rPr>
      </w:pPr>
      <w:r>
        <w:rPr>
          <w:rFonts w:cstheme="minorHAnsi"/>
          <w:sz w:val="24"/>
          <w:szCs w:val="24"/>
        </w:rPr>
        <w:t xml:space="preserve">       Mr. Michael Anderson (Non-Executive Director, Base Resources Ltd.)</w:t>
      </w:r>
    </w:p>
    <w:p w:rsidR="00690735" w:rsidRDefault="00690735" w:rsidP="00690735">
      <w:pPr>
        <w:spacing w:after="0" w:line="240" w:lineRule="auto"/>
        <w:jc w:val="both"/>
        <w:rPr>
          <w:rFonts w:cstheme="minorHAnsi"/>
          <w:sz w:val="24"/>
          <w:szCs w:val="24"/>
        </w:rPr>
      </w:pPr>
      <w:r>
        <w:rPr>
          <w:rFonts w:cstheme="minorHAnsi"/>
          <w:sz w:val="24"/>
          <w:szCs w:val="24"/>
        </w:rPr>
        <w:t xml:space="preserve">       Mr. Michael </w:t>
      </w:r>
      <w:proofErr w:type="spellStart"/>
      <w:r>
        <w:rPr>
          <w:rFonts w:cstheme="minorHAnsi"/>
          <w:sz w:val="24"/>
          <w:szCs w:val="24"/>
        </w:rPr>
        <w:t>Stirzaker</w:t>
      </w:r>
      <w:proofErr w:type="spellEnd"/>
      <w:r>
        <w:rPr>
          <w:rFonts w:cstheme="minorHAnsi"/>
          <w:sz w:val="24"/>
          <w:szCs w:val="24"/>
        </w:rPr>
        <w:t xml:space="preserve"> (Non-Executive Director, Base Resources Ltd.)</w:t>
      </w:r>
    </w:p>
    <w:p w:rsidR="00690735" w:rsidRDefault="00690735" w:rsidP="00690735">
      <w:pPr>
        <w:spacing w:after="0" w:line="240" w:lineRule="auto"/>
        <w:jc w:val="both"/>
        <w:rPr>
          <w:rFonts w:cstheme="minorHAnsi"/>
          <w:sz w:val="24"/>
          <w:szCs w:val="24"/>
        </w:rPr>
      </w:pPr>
      <w:r>
        <w:rPr>
          <w:rFonts w:cstheme="minorHAnsi"/>
          <w:sz w:val="24"/>
          <w:szCs w:val="24"/>
        </w:rPr>
        <w:t xml:space="preserve">       Mr. Malcolm Macpherson (Non-Executive Director, Base Resources Ltd.)</w:t>
      </w:r>
    </w:p>
    <w:p w:rsidR="00690735" w:rsidRDefault="00690735" w:rsidP="00690735">
      <w:pPr>
        <w:spacing w:after="0" w:line="240" w:lineRule="auto"/>
        <w:jc w:val="both"/>
        <w:rPr>
          <w:rFonts w:cstheme="minorHAnsi"/>
          <w:sz w:val="24"/>
          <w:szCs w:val="24"/>
        </w:rPr>
      </w:pPr>
      <w:r>
        <w:rPr>
          <w:rFonts w:cstheme="minorHAnsi"/>
          <w:sz w:val="24"/>
          <w:szCs w:val="24"/>
        </w:rPr>
        <w:t xml:space="preserve">       Ms. Diane Radley (Non-Executive Director, Base Resources Ltd.)</w:t>
      </w:r>
    </w:p>
    <w:p w:rsidR="00690735" w:rsidRDefault="00690735" w:rsidP="00690735">
      <w:pPr>
        <w:spacing w:after="0" w:line="240" w:lineRule="auto"/>
        <w:rPr>
          <w:rFonts w:cstheme="minorHAnsi"/>
          <w:sz w:val="24"/>
          <w:szCs w:val="24"/>
        </w:rPr>
      </w:pPr>
      <w:r>
        <w:rPr>
          <w:rFonts w:cstheme="minorHAnsi"/>
          <w:sz w:val="24"/>
          <w:szCs w:val="24"/>
        </w:rPr>
        <w:t xml:space="preserve">        </w:t>
      </w:r>
      <w:r>
        <w:rPr>
          <w:rStyle w:val="Strong"/>
          <w:rFonts w:cstheme="minorHAnsi"/>
          <w:sz w:val="24"/>
          <w:szCs w:val="24"/>
        </w:rPr>
        <w:t xml:space="preserve">Professor Joseph </w:t>
      </w:r>
      <w:proofErr w:type="spellStart"/>
      <w:r>
        <w:rPr>
          <w:rStyle w:val="Strong"/>
          <w:rFonts w:cstheme="minorHAnsi"/>
          <w:sz w:val="24"/>
          <w:szCs w:val="24"/>
        </w:rPr>
        <w:t>Maitha</w:t>
      </w:r>
      <w:proofErr w:type="spellEnd"/>
      <w:r>
        <w:rPr>
          <w:rStyle w:val="Strong"/>
          <w:rFonts w:cstheme="minorHAnsi"/>
          <w:sz w:val="24"/>
          <w:szCs w:val="24"/>
        </w:rPr>
        <w:t xml:space="preserve"> (Chairman</w:t>
      </w:r>
      <w:r>
        <w:rPr>
          <w:rStyle w:val="Emphasis"/>
          <w:rFonts w:cstheme="minorHAnsi"/>
        </w:rPr>
        <w:t xml:space="preserve">, </w:t>
      </w:r>
      <w:r>
        <w:rPr>
          <w:rFonts w:cstheme="minorHAnsi"/>
          <w:sz w:val="24"/>
          <w:szCs w:val="24"/>
        </w:rPr>
        <w:t>Base Titanium Ltd., Kenya</w:t>
      </w:r>
      <w:r>
        <w:rPr>
          <w:rStyle w:val="Strong"/>
          <w:rFonts w:cstheme="minorHAnsi"/>
          <w:sz w:val="24"/>
          <w:szCs w:val="24"/>
        </w:rPr>
        <w:t>)</w:t>
      </w:r>
      <w:r>
        <w:rPr>
          <w:rFonts w:cstheme="minorHAnsi"/>
          <w:sz w:val="24"/>
          <w:szCs w:val="24"/>
        </w:rPr>
        <w:t xml:space="preserve">     </w:t>
      </w:r>
    </w:p>
    <w:p w:rsidR="00690735" w:rsidRDefault="00690735" w:rsidP="00690735">
      <w:pPr>
        <w:spacing w:after="0" w:line="240" w:lineRule="auto"/>
        <w:rPr>
          <w:rFonts w:cstheme="minorHAnsi"/>
          <w:sz w:val="24"/>
          <w:szCs w:val="24"/>
        </w:rPr>
      </w:pPr>
      <w:r>
        <w:rPr>
          <w:rStyle w:val="Strong"/>
          <w:rFonts w:cstheme="minorHAnsi"/>
          <w:sz w:val="24"/>
          <w:szCs w:val="24"/>
        </w:rPr>
        <w:t xml:space="preserve">        Mr. John </w:t>
      </w:r>
      <w:proofErr w:type="spellStart"/>
      <w:r>
        <w:rPr>
          <w:rStyle w:val="Strong"/>
          <w:rFonts w:cstheme="minorHAnsi"/>
          <w:sz w:val="24"/>
          <w:szCs w:val="24"/>
        </w:rPr>
        <w:t>Ngumi</w:t>
      </w:r>
      <w:proofErr w:type="spellEnd"/>
      <w:r>
        <w:rPr>
          <w:rStyle w:val="Strong"/>
          <w:rFonts w:cstheme="minorHAnsi"/>
          <w:sz w:val="24"/>
          <w:szCs w:val="24"/>
        </w:rPr>
        <w:t xml:space="preserve"> </w:t>
      </w:r>
      <w:r>
        <w:rPr>
          <w:rStyle w:val="Emphasis"/>
          <w:rFonts w:cstheme="minorHAnsi"/>
        </w:rPr>
        <w:t xml:space="preserve">(Director, </w:t>
      </w:r>
      <w:r>
        <w:rPr>
          <w:rFonts w:cstheme="minorHAnsi"/>
          <w:sz w:val="24"/>
          <w:szCs w:val="24"/>
        </w:rPr>
        <w:t>Base Titanium Ltd., Kenya</w:t>
      </w:r>
      <w:r>
        <w:rPr>
          <w:rStyle w:val="Emphasis"/>
          <w:rFonts w:cstheme="minorHAnsi"/>
        </w:rPr>
        <w:t>)</w:t>
      </w:r>
    </w:p>
    <w:p w:rsidR="00690735" w:rsidRDefault="00690735" w:rsidP="00690735">
      <w:pPr>
        <w:pStyle w:val="NormalWeb"/>
        <w:spacing w:before="0" w:beforeAutospacing="0" w:after="0" w:afterAutospacing="0"/>
        <w:rPr>
          <w:rFonts w:asciiTheme="minorHAnsi" w:hAnsiTheme="minorHAnsi" w:cstheme="minorHAnsi"/>
        </w:rPr>
      </w:pPr>
      <w:r>
        <w:rPr>
          <w:rStyle w:val="Strong"/>
          <w:rFonts w:asciiTheme="minorHAnsi" w:eastAsiaTheme="minorEastAsia" w:hAnsiTheme="minorHAnsi" w:cstheme="minorHAnsi"/>
        </w:rPr>
        <w:t xml:space="preserve">        Mr. </w:t>
      </w:r>
      <w:proofErr w:type="spellStart"/>
      <w:r>
        <w:rPr>
          <w:rStyle w:val="Strong"/>
          <w:rFonts w:asciiTheme="minorHAnsi" w:eastAsiaTheme="minorEastAsia" w:hAnsiTheme="minorHAnsi" w:cstheme="minorHAnsi"/>
        </w:rPr>
        <w:t>Desterio</w:t>
      </w:r>
      <w:proofErr w:type="spellEnd"/>
      <w:r>
        <w:rPr>
          <w:rStyle w:val="Strong"/>
          <w:rFonts w:asciiTheme="minorHAnsi" w:eastAsiaTheme="minorEastAsia" w:hAnsiTheme="minorHAnsi" w:cstheme="minorHAnsi"/>
        </w:rPr>
        <w:t xml:space="preserve"> </w:t>
      </w:r>
      <w:proofErr w:type="spellStart"/>
      <w:r>
        <w:rPr>
          <w:rStyle w:val="Strong"/>
          <w:rFonts w:asciiTheme="minorHAnsi" w:eastAsiaTheme="minorEastAsia" w:hAnsiTheme="minorHAnsi" w:cstheme="minorHAnsi"/>
        </w:rPr>
        <w:t>Oyatsi</w:t>
      </w:r>
      <w:proofErr w:type="spellEnd"/>
      <w:r>
        <w:rPr>
          <w:rStyle w:val="Strong"/>
          <w:rFonts w:asciiTheme="minorHAnsi" w:eastAsiaTheme="minorEastAsia" w:hAnsiTheme="minorHAnsi" w:cstheme="minorHAnsi"/>
        </w:rPr>
        <w:t xml:space="preserve"> (</w:t>
      </w:r>
      <w:r>
        <w:rPr>
          <w:rStyle w:val="Emphasis"/>
          <w:rFonts w:asciiTheme="minorHAnsi" w:hAnsiTheme="minorHAnsi" w:cstheme="minorHAnsi"/>
        </w:rPr>
        <w:t xml:space="preserve">Director, </w:t>
      </w:r>
      <w:r>
        <w:rPr>
          <w:rFonts w:asciiTheme="minorHAnsi" w:hAnsiTheme="minorHAnsi" w:cstheme="minorHAnsi"/>
        </w:rPr>
        <w:t>Base Titanium Ltd., Kenya</w:t>
      </w:r>
      <w:r>
        <w:rPr>
          <w:rStyle w:val="Emphasis"/>
          <w:rFonts w:asciiTheme="minorHAnsi" w:hAnsiTheme="minorHAnsi" w:cstheme="minorHAnsi"/>
        </w:rPr>
        <w:t>)</w:t>
      </w:r>
    </w:p>
    <w:p w:rsidR="00690735" w:rsidRDefault="00690735" w:rsidP="00690735">
      <w:pPr>
        <w:pStyle w:val="NormalWeb"/>
        <w:spacing w:before="0" w:beforeAutospacing="0" w:after="0" w:afterAutospacing="0"/>
        <w:rPr>
          <w:rFonts w:asciiTheme="minorHAnsi" w:hAnsiTheme="minorHAnsi" w:cstheme="minorHAnsi"/>
        </w:rPr>
      </w:pPr>
      <w:r>
        <w:rPr>
          <w:rStyle w:val="Strong"/>
          <w:rFonts w:asciiTheme="minorHAnsi" w:eastAsiaTheme="minorEastAsia" w:hAnsiTheme="minorHAnsi" w:cstheme="minorHAnsi"/>
        </w:rPr>
        <w:t xml:space="preserve">        Mr. Aly-Khan </w:t>
      </w:r>
      <w:proofErr w:type="spellStart"/>
      <w:r>
        <w:rPr>
          <w:rStyle w:val="Strong"/>
          <w:rFonts w:asciiTheme="minorHAnsi" w:eastAsiaTheme="minorEastAsia" w:hAnsiTheme="minorHAnsi" w:cstheme="minorHAnsi"/>
        </w:rPr>
        <w:t>Satchu</w:t>
      </w:r>
      <w:proofErr w:type="spellEnd"/>
      <w:r>
        <w:rPr>
          <w:rStyle w:val="Strong"/>
          <w:rFonts w:asciiTheme="minorHAnsi" w:eastAsiaTheme="minorEastAsia" w:hAnsiTheme="minorHAnsi" w:cstheme="minorHAnsi"/>
        </w:rPr>
        <w:t xml:space="preserve"> (</w:t>
      </w:r>
      <w:r>
        <w:rPr>
          <w:rStyle w:val="Emphasis"/>
          <w:rFonts w:asciiTheme="minorHAnsi" w:hAnsiTheme="minorHAnsi" w:cstheme="minorHAnsi"/>
        </w:rPr>
        <w:t xml:space="preserve">Director, </w:t>
      </w:r>
      <w:r>
        <w:rPr>
          <w:rFonts w:asciiTheme="minorHAnsi" w:hAnsiTheme="minorHAnsi" w:cstheme="minorHAnsi"/>
        </w:rPr>
        <w:t>Base Titanium Ltd., Kenya</w:t>
      </w:r>
      <w:r>
        <w:rPr>
          <w:rStyle w:val="Emphasis"/>
          <w:rFonts w:asciiTheme="minorHAnsi" w:hAnsiTheme="minorHAnsi" w:cstheme="minorHAnsi"/>
        </w:rPr>
        <w:t>)</w:t>
      </w:r>
    </w:p>
    <w:p w:rsidR="00723A5E" w:rsidRPr="00690735" w:rsidRDefault="00690735" w:rsidP="00690735">
      <w:pPr>
        <w:pStyle w:val="NormalWeb"/>
        <w:spacing w:before="0" w:beforeAutospacing="0" w:after="0" w:afterAutospacing="0"/>
        <w:rPr>
          <w:rFonts w:asciiTheme="minorHAnsi" w:hAnsiTheme="minorHAnsi" w:cstheme="minorHAnsi"/>
        </w:rPr>
      </w:pPr>
      <w:r>
        <w:rPr>
          <w:rStyle w:val="Strong"/>
          <w:rFonts w:asciiTheme="minorHAnsi" w:eastAsiaTheme="minorEastAsia" w:hAnsiTheme="minorHAnsi" w:cstheme="minorHAnsi"/>
        </w:rPr>
        <w:t xml:space="preserve">        Mr. Chadwick Poletti</w:t>
      </w:r>
      <w:r>
        <w:rPr>
          <w:rFonts w:asciiTheme="minorHAnsi" w:hAnsiTheme="minorHAnsi" w:cstheme="minorHAnsi"/>
        </w:rPr>
        <w:t xml:space="preserve"> (</w:t>
      </w:r>
      <w:r>
        <w:rPr>
          <w:rStyle w:val="Emphasis"/>
          <w:rFonts w:asciiTheme="minorHAnsi" w:hAnsiTheme="minorHAnsi" w:cstheme="minorHAnsi"/>
        </w:rPr>
        <w:t xml:space="preserve">Director, </w:t>
      </w:r>
      <w:r>
        <w:rPr>
          <w:rFonts w:asciiTheme="minorHAnsi" w:hAnsiTheme="minorHAnsi" w:cstheme="minorHAnsi"/>
        </w:rPr>
        <w:t>Base Titanium Ltd., Kenya</w:t>
      </w:r>
      <w:r>
        <w:rPr>
          <w:rStyle w:val="Emphasis"/>
          <w:rFonts w:asciiTheme="minorHAnsi" w:hAnsiTheme="minorHAnsi" w:cstheme="minorHAnsi"/>
        </w:rPr>
        <w:t>)</w:t>
      </w:r>
    </w:p>
    <w:sectPr w:rsidR="00723A5E" w:rsidRPr="006907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704" w:rsidRDefault="00811704" w:rsidP="00690735">
      <w:pPr>
        <w:spacing w:after="0" w:line="240" w:lineRule="auto"/>
      </w:pPr>
      <w:r>
        <w:separator/>
      </w:r>
    </w:p>
  </w:endnote>
  <w:endnote w:type="continuationSeparator" w:id="0">
    <w:p w:rsidR="00811704" w:rsidRDefault="00811704" w:rsidP="0069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704" w:rsidRDefault="00811704" w:rsidP="00690735">
      <w:pPr>
        <w:spacing w:after="0" w:line="240" w:lineRule="auto"/>
      </w:pPr>
      <w:r>
        <w:separator/>
      </w:r>
    </w:p>
  </w:footnote>
  <w:footnote w:type="continuationSeparator" w:id="0">
    <w:p w:rsidR="00811704" w:rsidRDefault="00811704" w:rsidP="00690735">
      <w:pPr>
        <w:spacing w:after="0" w:line="240" w:lineRule="auto"/>
      </w:pPr>
      <w:r>
        <w:continuationSeparator/>
      </w:r>
    </w:p>
  </w:footnote>
  <w:footnote w:id="1">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Including the villages of </w:t>
      </w:r>
      <w:proofErr w:type="spellStart"/>
      <w:r w:rsidRPr="00BD4B0E">
        <w:rPr>
          <w:rFonts w:cstheme="minorHAnsi"/>
          <w:i/>
        </w:rPr>
        <w:t>Gazi</w:t>
      </w:r>
      <w:proofErr w:type="spellEnd"/>
      <w:r w:rsidRPr="00BD4B0E">
        <w:rPr>
          <w:rFonts w:cstheme="minorHAnsi"/>
        </w:rPr>
        <w:t>,</w:t>
      </w:r>
      <w:r w:rsidRPr="00BD4B0E">
        <w:rPr>
          <w:rFonts w:cstheme="minorHAnsi"/>
          <w:i/>
        </w:rPr>
        <w:t xml:space="preserve"> </w:t>
      </w:r>
      <w:proofErr w:type="spellStart"/>
      <w:r w:rsidRPr="00BD4B0E">
        <w:rPr>
          <w:rFonts w:cstheme="minorHAnsi"/>
          <w:i/>
        </w:rPr>
        <w:t>Vumbu</w:t>
      </w:r>
      <w:proofErr w:type="spellEnd"/>
      <w:r w:rsidRPr="00BD4B0E">
        <w:rPr>
          <w:rFonts w:cstheme="minorHAnsi"/>
        </w:rPr>
        <w:t>,</w:t>
      </w:r>
      <w:r w:rsidRPr="00BD4B0E">
        <w:rPr>
          <w:rFonts w:cstheme="minorHAnsi"/>
          <w:i/>
        </w:rPr>
        <w:t xml:space="preserve"> </w:t>
      </w:r>
      <w:proofErr w:type="spellStart"/>
      <w:r w:rsidRPr="00BD4B0E">
        <w:rPr>
          <w:rFonts w:cstheme="minorHAnsi"/>
          <w:i/>
        </w:rPr>
        <w:t>Maumba</w:t>
      </w:r>
      <w:proofErr w:type="spellEnd"/>
      <w:r w:rsidRPr="00BD4B0E">
        <w:rPr>
          <w:rFonts w:cstheme="minorHAnsi"/>
        </w:rPr>
        <w:t>,</w:t>
      </w:r>
      <w:r w:rsidRPr="00BD4B0E">
        <w:rPr>
          <w:rFonts w:cstheme="minorHAnsi"/>
          <w:i/>
        </w:rPr>
        <w:t xml:space="preserve"> </w:t>
      </w:r>
      <w:proofErr w:type="spellStart"/>
      <w:r w:rsidRPr="00BD4B0E">
        <w:rPr>
          <w:rFonts w:cstheme="minorHAnsi"/>
          <w:i/>
        </w:rPr>
        <w:t>Magaoni</w:t>
      </w:r>
      <w:proofErr w:type="spellEnd"/>
      <w:r w:rsidRPr="00BD4B0E">
        <w:rPr>
          <w:rFonts w:cstheme="minorHAnsi"/>
        </w:rPr>
        <w:t>,</w:t>
      </w:r>
      <w:r w:rsidRPr="00BD4B0E">
        <w:rPr>
          <w:rFonts w:cstheme="minorHAnsi"/>
          <w:i/>
        </w:rPr>
        <w:t xml:space="preserve"> </w:t>
      </w:r>
      <w:proofErr w:type="spellStart"/>
      <w:r w:rsidRPr="00BD4B0E">
        <w:rPr>
          <w:rFonts w:cstheme="minorHAnsi"/>
          <w:i/>
        </w:rPr>
        <w:t>Fihoni</w:t>
      </w:r>
      <w:proofErr w:type="spellEnd"/>
      <w:r w:rsidRPr="00BD4B0E">
        <w:rPr>
          <w:rFonts w:cstheme="minorHAnsi"/>
        </w:rPr>
        <w:t>,</w:t>
      </w:r>
      <w:r w:rsidRPr="00BD4B0E">
        <w:rPr>
          <w:rFonts w:cstheme="minorHAnsi"/>
          <w:i/>
        </w:rPr>
        <w:t xml:space="preserve"> </w:t>
      </w:r>
      <w:proofErr w:type="spellStart"/>
      <w:r w:rsidRPr="00BD4B0E">
        <w:rPr>
          <w:rFonts w:cstheme="minorHAnsi"/>
          <w:i/>
        </w:rPr>
        <w:t>Majikuko</w:t>
      </w:r>
      <w:proofErr w:type="spellEnd"/>
      <w:r w:rsidRPr="00BD4B0E">
        <w:rPr>
          <w:rFonts w:cstheme="minorHAnsi"/>
        </w:rPr>
        <w:t>,</w:t>
      </w:r>
      <w:r w:rsidRPr="00BD4B0E">
        <w:rPr>
          <w:rFonts w:cstheme="minorHAnsi"/>
          <w:i/>
        </w:rPr>
        <w:t xml:space="preserve"> </w:t>
      </w:r>
      <w:proofErr w:type="spellStart"/>
      <w:r w:rsidRPr="00BD4B0E">
        <w:rPr>
          <w:rFonts w:cstheme="minorHAnsi"/>
          <w:i/>
        </w:rPr>
        <w:t>Mwaloya</w:t>
      </w:r>
      <w:proofErr w:type="spellEnd"/>
      <w:r w:rsidRPr="00BD4B0E">
        <w:rPr>
          <w:rFonts w:cstheme="minorHAnsi"/>
        </w:rPr>
        <w:t>,</w:t>
      </w:r>
      <w:r w:rsidRPr="00BD4B0E">
        <w:rPr>
          <w:rFonts w:cstheme="minorHAnsi"/>
          <w:i/>
        </w:rPr>
        <w:t xml:space="preserve"> </w:t>
      </w:r>
      <w:proofErr w:type="spellStart"/>
      <w:r w:rsidRPr="00BD4B0E">
        <w:rPr>
          <w:rFonts w:cstheme="minorHAnsi"/>
          <w:i/>
        </w:rPr>
        <w:t>Bumamani</w:t>
      </w:r>
      <w:proofErr w:type="spellEnd"/>
      <w:r w:rsidRPr="00BD4B0E">
        <w:rPr>
          <w:rFonts w:cstheme="minorHAnsi"/>
        </w:rPr>
        <w:t>,</w:t>
      </w:r>
      <w:r w:rsidRPr="00BD4B0E">
        <w:rPr>
          <w:rFonts w:cstheme="minorHAnsi"/>
          <w:i/>
        </w:rPr>
        <w:t xml:space="preserve"> </w:t>
      </w:r>
      <w:proofErr w:type="spellStart"/>
      <w:r w:rsidRPr="00BD4B0E">
        <w:rPr>
          <w:rFonts w:cstheme="minorHAnsi"/>
          <w:i/>
        </w:rPr>
        <w:t>Madongoni</w:t>
      </w:r>
      <w:proofErr w:type="spellEnd"/>
      <w:r w:rsidRPr="00BD4B0E">
        <w:rPr>
          <w:rFonts w:cstheme="minorHAnsi"/>
        </w:rPr>
        <w:t>,</w:t>
      </w:r>
      <w:r w:rsidRPr="00BD4B0E">
        <w:rPr>
          <w:rFonts w:cstheme="minorHAnsi"/>
          <w:i/>
        </w:rPr>
        <w:t xml:space="preserve"> </w:t>
      </w:r>
      <w:proofErr w:type="spellStart"/>
      <w:r w:rsidRPr="00BD4B0E">
        <w:rPr>
          <w:rFonts w:cstheme="minorHAnsi"/>
          <w:i/>
        </w:rPr>
        <w:t>Masindeni</w:t>
      </w:r>
      <w:proofErr w:type="spellEnd"/>
      <w:r w:rsidRPr="00BD4B0E">
        <w:rPr>
          <w:rFonts w:cstheme="minorHAnsi"/>
        </w:rPr>
        <w:t>,</w:t>
      </w:r>
      <w:r w:rsidRPr="00BD4B0E">
        <w:rPr>
          <w:rFonts w:cstheme="minorHAnsi"/>
          <w:i/>
        </w:rPr>
        <w:t xml:space="preserve"> </w:t>
      </w:r>
      <w:proofErr w:type="spellStart"/>
      <w:r w:rsidRPr="00BD4B0E">
        <w:rPr>
          <w:rFonts w:cstheme="minorHAnsi"/>
          <w:i/>
        </w:rPr>
        <w:t>Mwandimu</w:t>
      </w:r>
      <w:proofErr w:type="spellEnd"/>
      <w:r w:rsidRPr="00BD4B0E">
        <w:rPr>
          <w:rFonts w:cstheme="minorHAnsi"/>
        </w:rPr>
        <w:t>, and</w:t>
      </w:r>
      <w:r w:rsidRPr="00BD4B0E">
        <w:rPr>
          <w:rFonts w:cstheme="minorHAnsi"/>
          <w:i/>
        </w:rPr>
        <w:t xml:space="preserve"> </w:t>
      </w:r>
      <w:proofErr w:type="spellStart"/>
      <w:r w:rsidRPr="00BD4B0E">
        <w:rPr>
          <w:rFonts w:cstheme="minorHAnsi"/>
          <w:i/>
        </w:rPr>
        <w:t>Zigira</w:t>
      </w:r>
      <w:proofErr w:type="spellEnd"/>
      <w:r w:rsidRPr="00BD4B0E">
        <w:rPr>
          <w:rFonts w:cstheme="minorHAnsi"/>
        </w:rPr>
        <w:t>.</w:t>
      </w:r>
    </w:p>
  </w:footnote>
  <w:footnote w:id="2">
    <w:p w:rsidR="00690735" w:rsidRPr="00BD4B0E" w:rsidRDefault="00690735" w:rsidP="00690735">
      <w:pPr>
        <w:autoSpaceDE w:val="0"/>
        <w:autoSpaceDN w:val="0"/>
        <w:adjustRightInd w:val="0"/>
        <w:spacing w:after="0" w:line="240" w:lineRule="auto"/>
        <w:jc w:val="both"/>
        <w:rPr>
          <w:rFonts w:cstheme="minorHAnsi"/>
          <w:sz w:val="20"/>
          <w:szCs w:val="20"/>
        </w:rPr>
      </w:pPr>
      <w:r w:rsidRPr="00BD4B0E">
        <w:rPr>
          <w:rStyle w:val="FootnoteReference"/>
          <w:rFonts w:cstheme="minorHAnsi"/>
          <w:sz w:val="20"/>
          <w:szCs w:val="20"/>
        </w:rPr>
        <w:footnoteRef/>
      </w:r>
      <w:r w:rsidRPr="00BD4B0E">
        <w:rPr>
          <w:rFonts w:cstheme="minorHAnsi"/>
          <w:sz w:val="20"/>
          <w:szCs w:val="20"/>
        </w:rPr>
        <w:t xml:space="preserve"> Mineral rights Include prospecting </w:t>
      </w:r>
      <w:proofErr w:type="spellStart"/>
      <w:r w:rsidRPr="00BD4B0E">
        <w:rPr>
          <w:rFonts w:cstheme="minorHAnsi"/>
          <w:sz w:val="20"/>
          <w:szCs w:val="20"/>
        </w:rPr>
        <w:t>licences</w:t>
      </w:r>
      <w:proofErr w:type="spellEnd"/>
      <w:r w:rsidRPr="00BD4B0E">
        <w:rPr>
          <w:rFonts w:cstheme="minorHAnsi"/>
          <w:sz w:val="20"/>
          <w:szCs w:val="20"/>
        </w:rPr>
        <w:t xml:space="preserve">, retention </w:t>
      </w:r>
      <w:proofErr w:type="spellStart"/>
      <w:r w:rsidRPr="00BD4B0E">
        <w:rPr>
          <w:rFonts w:cstheme="minorHAnsi"/>
          <w:sz w:val="20"/>
          <w:szCs w:val="20"/>
        </w:rPr>
        <w:t>licences</w:t>
      </w:r>
      <w:proofErr w:type="spellEnd"/>
      <w:r w:rsidRPr="00BD4B0E">
        <w:rPr>
          <w:rFonts w:cstheme="minorHAnsi"/>
          <w:sz w:val="20"/>
          <w:szCs w:val="20"/>
        </w:rPr>
        <w:t xml:space="preserve">, mining </w:t>
      </w:r>
      <w:proofErr w:type="spellStart"/>
      <w:r w:rsidRPr="00BD4B0E">
        <w:rPr>
          <w:rFonts w:cstheme="minorHAnsi"/>
          <w:sz w:val="20"/>
          <w:szCs w:val="20"/>
        </w:rPr>
        <w:t>licences</w:t>
      </w:r>
      <w:proofErr w:type="spellEnd"/>
      <w:r w:rsidRPr="00BD4B0E">
        <w:rPr>
          <w:rFonts w:cstheme="minorHAnsi"/>
          <w:sz w:val="20"/>
          <w:szCs w:val="20"/>
        </w:rPr>
        <w:t>, prospecting permits, mining permits, and artisanal permits.</w:t>
      </w:r>
    </w:p>
  </w:footnote>
  <w:footnote w:id="3">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hyperlink r:id="rId1" w:history="1">
        <w:r w:rsidRPr="00BD4B0E">
          <w:rPr>
            <w:rStyle w:val="Hyperlink"/>
            <w:rFonts w:cstheme="minorHAnsi"/>
          </w:rPr>
          <w:t>www.basetitanium.com</w:t>
        </w:r>
      </w:hyperlink>
      <w:r w:rsidRPr="00BD4B0E">
        <w:rPr>
          <w:rFonts w:cstheme="minorHAnsi"/>
        </w:rPr>
        <w:t xml:space="preserve"> (Accessed on 26</w:t>
      </w:r>
      <w:r w:rsidRPr="00BD4B0E">
        <w:rPr>
          <w:rFonts w:cstheme="minorHAnsi"/>
          <w:vertAlign w:val="superscript"/>
        </w:rPr>
        <w:t>th</w:t>
      </w:r>
      <w:r w:rsidRPr="00BD4B0E">
        <w:rPr>
          <w:rFonts w:cstheme="minorHAnsi"/>
        </w:rPr>
        <w:t xml:space="preserve"> March 2017)</w:t>
      </w:r>
    </w:p>
  </w:footnote>
  <w:footnote w:id="4">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5">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Recently aired by the Kenya Television Network (KTN) – </w:t>
      </w:r>
      <w:hyperlink r:id="rId2" w:history="1">
        <w:r w:rsidRPr="00BD4B0E">
          <w:rPr>
            <w:rStyle w:val="Hyperlink"/>
            <w:rFonts w:cstheme="minorHAnsi"/>
          </w:rPr>
          <w:t>https://youtu.be/Z0BVYPZm4A4</w:t>
        </w:r>
      </w:hyperlink>
      <w:r w:rsidRPr="00BD4B0E">
        <w:rPr>
          <w:rFonts w:cstheme="minorHAnsi"/>
        </w:rPr>
        <w:t xml:space="preserve"> </w:t>
      </w:r>
    </w:p>
  </w:footnote>
  <w:footnote w:id="6">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hyperlink r:id="rId3" w:history="1">
        <w:r w:rsidRPr="00BD4B0E">
          <w:rPr>
            <w:rStyle w:val="Hyperlink"/>
            <w:rFonts w:cstheme="minorHAnsi"/>
          </w:rPr>
          <w:t>https://citizentv.co.ke/news/wakazi-wa-vumba-kaunti-ya-kwale-walalamikia-vumbi-180988/</w:t>
        </w:r>
      </w:hyperlink>
      <w:r w:rsidRPr="00BD4B0E">
        <w:rPr>
          <w:rFonts w:cstheme="minorHAnsi"/>
        </w:rPr>
        <w:t xml:space="preserve"> </w:t>
      </w:r>
    </w:p>
  </w:footnote>
  <w:footnote w:id="7">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proofErr w:type="spellStart"/>
      <w:r w:rsidRPr="00BD4B0E">
        <w:rPr>
          <w:rFonts w:cstheme="minorHAnsi"/>
        </w:rPr>
        <w:t>Okoth</w:t>
      </w:r>
      <w:proofErr w:type="spellEnd"/>
      <w:r w:rsidRPr="00BD4B0E">
        <w:rPr>
          <w:rFonts w:cstheme="minorHAnsi"/>
        </w:rPr>
        <w:t xml:space="preserve">, E. (2016). </w:t>
      </w:r>
      <w:r w:rsidRPr="00BD4B0E">
        <w:rPr>
          <w:rFonts w:cstheme="minorHAnsi"/>
          <w:i/>
        </w:rPr>
        <w:t>Millions feared lost in mining sector through lax regulations</w:t>
      </w:r>
      <w:r w:rsidRPr="00BD4B0E">
        <w:rPr>
          <w:rFonts w:cstheme="minorHAnsi"/>
        </w:rPr>
        <w:t>. The Daily Nation, 31</w:t>
      </w:r>
      <w:r w:rsidRPr="00BD4B0E">
        <w:rPr>
          <w:rFonts w:cstheme="minorHAnsi"/>
          <w:vertAlign w:val="superscript"/>
        </w:rPr>
        <w:t>st</w:t>
      </w:r>
      <w:r w:rsidRPr="00BD4B0E">
        <w:rPr>
          <w:rFonts w:cstheme="minorHAnsi"/>
        </w:rPr>
        <w:t xml:space="preserve"> October 2016 – </w:t>
      </w:r>
      <w:hyperlink r:id="rId4" w:history="1">
        <w:r w:rsidRPr="00BD4B0E">
          <w:rPr>
            <w:rStyle w:val="Hyperlink"/>
            <w:rFonts w:cstheme="minorHAnsi"/>
          </w:rPr>
          <w:t>www.google.com/amp/www.nation.co.ke/business/Millions-feared-lost-in-mining-sector-through-lax-regulations/996-3436114-view-asAMP-nv3t63z/index.html</w:t>
        </w:r>
      </w:hyperlink>
    </w:p>
  </w:footnote>
  <w:footnote w:id="8">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9">
    <w:p w:rsidR="00690735" w:rsidRPr="00BD4B0E" w:rsidRDefault="00690735" w:rsidP="00690735">
      <w:pPr>
        <w:pStyle w:val="FootnoteText"/>
        <w:jc w:val="both"/>
        <w:rPr>
          <w:rFonts w:cstheme="minorHAnsi"/>
        </w:rPr>
      </w:pPr>
      <w:r w:rsidRPr="00BD4B0E">
        <w:rPr>
          <w:rStyle w:val="FootnoteReference"/>
          <w:rFonts w:cstheme="minorHAnsi"/>
        </w:rPr>
        <w:footnoteRef/>
      </w:r>
      <w:r w:rsidRPr="00BD4B0E">
        <w:rPr>
          <w:rFonts w:cstheme="minorHAnsi"/>
        </w:rPr>
        <w:t xml:space="preserve"> </w:t>
      </w:r>
      <w:r w:rsidRPr="00BD4B0E">
        <w:rPr>
          <w:rFonts w:cstheme="minorHAnsi"/>
          <w:i/>
        </w:rPr>
        <w:t>Ibid</w:t>
      </w:r>
    </w:p>
  </w:footnote>
  <w:footnote w:id="10">
    <w:p w:rsidR="00690735" w:rsidRPr="00BD4B0E" w:rsidRDefault="00690735" w:rsidP="00690735">
      <w:pPr>
        <w:autoSpaceDE w:val="0"/>
        <w:autoSpaceDN w:val="0"/>
        <w:adjustRightInd w:val="0"/>
        <w:spacing w:after="0" w:line="240" w:lineRule="auto"/>
        <w:jc w:val="both"/>
        <w:rPr>
          <w:rFonts w:cstheme="minorHAnsi"/>
          <w:sz w:val="20"/>
          <w:szCs w:val="20"/>
        </w:rPr>
      </w:pPr>
      <w:r w:rsidRPr="00BD4B0E">
        <w:rPr>
          <w:rStyle w:val="FootnoteReference"/>
          <w:rFonts w:cstheme="minorHAnsi"/>
          <w:sz w:val="20"/>
          <w:szCs w:val="20"/>
        </w:rPr>
        <w:footnoteRef/>
      </w:r>
      <w:r w:rsidRPr="00BD4B0E">
        <w:rPr>
          <w:rFonts w:cstheme="minorHAnsi"/>
          <w:sz w:val="20"/>
          <w:szCs w:val="20"/>
        </w:rPr>
        <w:t xml:space="preserve"> Mineral rights Include prospecting </w:t>
      </w:r>
      <w:proofErr w:type="spellStart"/>
      <w:r w:rsidRPr="00BD4B0E">
        <w:rPr>
          <w:rFonts w:cstheme="minorHAnsi"/>
          <w:sz w:val="20"/>
          <w:szCs w:val="20"/>
        </w:rPr>
        <w:t>licences</w:t>
      </w:r>
      <w:proofErr w:type="spellEnd"/>
      <w:r w:rsidRPr="00BD4B0E">
        <w:rPr>
          <w:rFonts w:cstheme="minorHAnsi"/>
          <w:sz w:val="20"/>
          <w:szCs w:val="20"/>
        </w:rPr>
        <w:t xml:space="preserve">, retention </w:t>
      </w:r>
      <w:proofErr w:type="spellStart"/>
      <w:r w:rsidRPr="00BD4B0E">
        <w:rPr>
          <w:rFonts w:cstheme="minorHAnsi"/>
          <w:sz w:val="20"/>
          <w:szCs w:val="20"/>
        </w:rPr>
        <w:t>licences</w:t>
      </w:r>
      <w:proofErr w:type="spellEnd"/>
      <w:r w:rsidRPr="00BD4B0E">
        <w:rPr>
          <w:rFonts w:cstheme="minorHAnsi"/>
          <w:sz w:val="20"/>
          <w:szCs w:val="20"/>
        </w:rPr>
        <w:t xml:space="preserve">, mining </w:t>
      </w:r>
      <w:proofErr w:type="spellStart"/>
      <w:r w:rsidRPr="00BD4B0E">
        <w:rPr>
          <w:rFonts w:cstheme="minorHAnsi"/>
          <w:sz w:val="20"/>
          <w:szCs w:val="20"/>
        </w:rPr>
        <w:t>licences</w:t>
      </w:r>
      <w:proofErr w:type="spellEnd"/>
      <w:r w:rsidRPr="00BD4B0E">
        <w:rPr>
          <w:rFonts w:cstheme="minorHAnsi"/>
          <w:sz w:val="20"/>
          <w:szCs w:val="20"/>
        </w:rPr>
        <w:t>, prospecting permits, mining permits, and artisanal permits.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D0CF4"/>
    <w:multiLevelType w:val="hybridMultilevel"/>
    <w:tmpl w:val="59B4D5C8"/>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1C8A"/>
    <w:multiLevelType w:val="hybridMultilevel"/>
    <w:tmpl w:val="59B4D5C8"/>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B24B6C"/>
    <w:multiLevelType w:val="hybridMultilevel"/>
    <w:tmpl w:val="13E0EA24"/>
    <w:lvl w:ilvl="0" w:tplc="C700D5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735"/>
    <w:rsid w:val="00621A89"/>
    <w:rsid w:val="00690735"/>
    <w:rsid w:val="006B2D25"/>
    <w:rsid w:val="00811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1B277-D786-466F-A77C-812217DA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73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90735"/>
    <w:rPr>
      <w:vertAlign w:val="superscript"/>
    </w:rPr>
  </w:style>
  <w:style w:type="paragraph" w:styleId="FootnoteText">
    <w:name w:val="footnote text"/>
    <w:basedOn w:val="Normal"/>
    <w:link w:val="FootnoteTextChar"/>
    <w:uiPriority w:val="99"/>
    <w:unhideWhenUsed/>
    <w:rsid w:val="00690735"/>
    <w:pPr>
      <w:spacing w:after="0" w:line="240" w:lineRule="auto"/>
    </w:pPr>
    <w:rPr>
      <w:sz w:val="20"/>
      <w:szCs w:val="20"/>
    </w:rPr>
  </w:style>
  <w:style w:type="character" w:customStyle="1" w:styleId="FootnoteTextChar">
    <w:name w:val="Footnote Text Char"/>
    <w:basedOn w:val="DefaultParagraphFont"/>
    <w:link w:val="FootnoteText"/>
    <w:uiPriority w:val="99"/>
    <w:rsid w:val="00690735"/>
    <w:rPr>
      <w:rFonts w:eastAsiaTheme="minorEastAsia"/>
      <w:sz w:val="20"/>
      <w:szCs w:val="20"/>
      <w:lang w:val="en-US"/>
    </w:rPr>
  </w:style>
  <w:style w:type="paragraph" w:styleId="ListParagraph">
    <w:name w:val="List Paragraph"/>
    <w:basedOn w:val="Normal"/>
    <w:uiPriority w:val="34"/>
    <w:qFormat/>
    <w:rsid w:val="00690735"/>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90735"/>
    <w:rPr>
      <w:color w:val="0563C1" w:themeColor="hyperlink"/>
      <w:u w:val="single"/>
    </w:rPr>
  </w:style>
  <w:style w:type="character" w:styleId="Emphasis">
    <w:name w:val="Emphasis"/>
    <w:basedOn w:val="DefaultParagraphFont"/>
    <w:qFormat/>
    <w:rsid w:val="00690735"/>
    <w:rPr>
      <w:rFonts w:ascii="Times New Roman" w:eastAsia="SimSun" w:hAnsi="Times New Roman"/>
      <w:i/>
    </w:rPr>
  </w:style>
  <w:style w:type="paragraph" w:styleId="NormalWeb">
    <w:name w:val="Normal (Web)"/>
    <w:basedOn w:val="Normal"/>
    <w:uiPriority w:val="99"/>
    <w:unhideWhenUsed/>
    <w:rsid w:val="006907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uiPriority w:val="99"/>
    <w:rsid w:val="00690735"/>
    <w:pPr>
      <w:spacing w:after="0" w:line="276" w:lineRule="auto"/>
    </w:pPr>
    <w:rPr>
      <w:rFonts w:ascii="Arial" w:eastAsia="Arial" w:hAnsi="Arial" w:cs="Arial"/>
      <w:color w:val="000000"/>
      <w:lang w:val="en-US"/>
    </w:rPr>
  </w:style>
  <w:style w:type="character" w:styleId="Strong">
    <w:name w:val="Strong"/>
    <w:basedOn w:val="DefaultParagraphFont"/>
    <w:qFormat/>
    <w:rsid w:val="00690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izentv.co.ke/news/wakazi-wa-vumba-kaunti-ya-kwale-walalamikia-vumbi-180988/" TargetMode="External"/><Relationship Id="rId3" Type="http://schemas.openxmlformats.org/officeDocument/2006/relationships/settings" Target="settings.xml"/><Relationship Id="rId7" Type="http://schemas.openxmlformats.org/officeDocument/2006/relationships/hyperlink" Target="https://youtu.be/Z0BVYPZm4A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wanyeekinuthia@gmail.com" TargetMode="External"/><Relationship Id="rId4" Type="http://schemas.openxmlformats.org/officeDocument/2006/relationships/webSettings" Target="webSettings.xml"/><Relationship Id="rId9" Type="http://schemas.openxmlformats.org/officeDocument/2006/relationships/hyperlink" Target="https://m.youtube.com/watch?v=znk_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tizentv.co.ke/news/wakazi-wa-vumba-kaunti-ya-kwale-walalamikia-vumbi-180988/" TargetMode="External"/><Relationship Id="rId2" Type="http://schemas.openxmlformats.org/officeDocument/2006/relationships/hyperlink" Target="https://youtu.be/Z0BVYPZm4A4" TargetMode="External"/><Relationship Id="rId1" Type="http://schemas.openxmlformats.org/officeDocument/2006/relationships/hyperlink" Target="http://www.basetitanium.com" TargetMode="External"/><Relationship Id="rId4" Type="http://schemas.openxmlformats.org/officeDocument/2006/relationships/hyperlink" Target="http://www.google.com/amp/www.nation.co.ke/business/Millions-feared-lost-in-mining-sector-through-lax-regulations/996-3436114-view-asAMP-nv3t63z/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2025-06-15T18:00:00Z</dcterms:created>
  <dcterms:modified xsi:type="dcterms:W3CDTF">2025-06-15T18:03:00Z</dcterms:modified>
</cp:coreProperties>
</file>